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7AB00" w14:textId="77777777" w:rsidR="00B84183" w:rsidRPr="00910198" w:rsidRDefault="00B84183" w:rsidP="00B84183">
      <w:pPr>
        <w:widowControl w:val="0"/>
        <w:spacing w:after="0"/>
        <w:rPr>
          <w:rFonts w:eastAsia="Times New Roman" w:cs="Times New Roman"/>
          <w:sz w:val="22"/>
          <w:szCs w:val="24"/>
        </w:rPr>
      </w:pPr>
      <w:bookmarkStart w:id="0" w:name="_GoBack"/>
      <w:bookmarkEnd w:id="0"/>
    </w:p>
    <w:p w14:paraId="0797F0FA" w14:textId="77777777" w:rsidR="00B84183" w:rsidRPr="00910198" w:rsidRDefault="00B84183" w:rsidP="00B84183">
      <w:pPr>
        <w:widowControl w:val="0"/>
        <w:spacing w:after="0"/>
        <w:jc w:val="center"/>
        <w:rPr>
          <w:rFonts w:eastAsia="Times New Roman" w:cs="Times New Roman"/>
          <w:sz w:val="22"/>
          <w:szCs w:val="24"/>
        </w:rPr>
      </w:pPr>
      <w:r w:rsidRPr="00277364">
        <w:rPr>
          <w:rFonts w:asciiTheme="minorHAnsi" w:eastAsia="Times New Roman" w:hAnsiTheme="minorHAnsi"/>
          <w:noProof/>
          <w:color w:val="0000FF"/>
          <w:sz w:val="36"/>
          <w:szCs w:val="36"/>
        </w:rPr>
        <w:drawing>
          <wp:inline distT="0" distB="0" distL="0" distR="0" wp14:anchorId="472C4B05" wp14:editId="0946D97C">
            <wp:extent cx="1769380" cy="17811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 Logo-Te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9380" cy="1781175"/>
                    </a:xfrm>
                    <a:prstGeom prst="rect">
                      <a:avLst/>
                    </a:prstGeom>
                  </pic:spPr>
                </pic:pic>
              </a:graphicData>
            </a:graphic>
          </wp:inline>
        </w:drawing>
      </w:r>
    </w:p>
    <w:p w14:paraId="6B044F5B" w14:textId="77777777" w:rsidR="00B84183" w:rsidRPr="00910198" w:rsidRDefault="00B84183" w:rsidP="00B84183">
      <w:pPr>
        <w:widowControl w:val="0"/>
        <w:spacing w:after="200"/>
        <w:jc w:val="center"/>
        <w:rPr>
          <w:rFonts w:eastAsia="Times New Roman" w:cs="Times New Roman"/>
          <w:b/>
          <w:color w:val="005A9E"/>
          <w:sz w:val="40"/>
          <w:szCs w:val="40"/>
        </w:rPr>
      </w:pPr>
    </w:p>
    <w:p w14:paraId="1F653A2A" w14:textId="77777777" w:rsidR="00B84183" w:rsidRPr="00910198" w:rsidRDefault="00B84183" w:rsidP="00B84183">
      <w:pPr>
        <w:widowControl w:val="0"/>
        <w:spacing w:after="200"/>
        <w:jc w:val="center"/>
        <w:rPr>
          <w:rFonts w:eastAsia="Times New Roman" w:cs="Times New Roman"/>
          <w:b/>
          <w:color w:val="005A9E"/>
          <w:sz w:val="40"/>
          <w:szCs w:val="40"/>
        </w:rPr>
      </w:pPr>
    </w:p>
    <w:p w14:paraId="09752A83" w14:textId="77777777" w:rsidR="00B84183" w:rsidRPr="00910198" w:rsidRDefault="00B84183" w:rsidP="00B84183">
      <w:pPr>
        <w:widowControl w:val="0"/>
        <w:spacing w:after="200"/>
        <w:jc w:val="center"/>
        <w:rPr>
          <w:rFonts w:eastAsia="Times New Roman" w:cs="Times New Roman"/>
          <w:b/>
          <w:color w:val="005A9E"/>
          <w:sz w:val="40"/>
          <w:szCs w:val="40"/>
        </w:rPr>
      </w:pPr>
    </w:p>
    <w:p w14:paraId="6EECA17A" w14:textId="77777777" w:rsidR="00B84183" w:rsidRPr="00910198" w:rsidRDefault="00B84183" w:rsidP="00B84183">
      <w:pPr>
        <w:widowControl w:val="0"/>
        <w:spacing w:after="200"/>
        <w:jc w:val="center"/>
        <w:rPr>
          <w:rFonts w:eastAsia="Times New Roman" w:cs="Times New Roman"/>
          <w:b/>
          <w:color w:val="005A9E"/>
          <w:sz w:val="40"/>
          <w:szCs w:val="40"/>
        </w:rPr>
      </w:pPr>
      <w:r>
        <w:rPr>
          <w:rFonts w:eastAsia="Times New Roman" w:cs="Times New Roman"/>
          <w:b/>
          <w:color w:val="005A9E"/>
          <w:sz w:val="40"/>
          <w:szCs w:val="40"/>
        </w:rPr>
        <w:t>Social Security Administration</w:t>
      </w:r>
    </w:p>
    <w:p w14:paraId="06FBC6E0" w14:textId="15146756" w:rsidR="00B84183" w:rsidRPr="00910198" w:rsidRDefault="00531838" w:rsidP="00B84183">
      <w:pPr>
        <w:widowControl w:val="0"/>
        <w:spacing w:after="100"/>
        <w:jc w:val="center"/>
        <w:rPr>
          <w:rFonts w:eastAsia="Times New Roman" w:cs="Times New Roman"/>
          <w:b/>
          <w:color w:val="005A9E"/>
          <w:sz w:val="40"/>
          <w:szCs w:val="40"/>
        </w:rPr>
      </w:pPr>
      <w:r>
        <w:rPr>
          <w:rFonts w:eastAsia="Times New Roman" w:cs="Times New Roman"/>
          <w:b/>
          <w:color w:val="005A9E"/>
          <w:sz w:val="40"/>
          <w:szCs w:val="40"/>
        </w:rPr>
        <w:t>FY 2017</w:t>
      </w:r>
      <w:r w:rsidR="00B84183" w:rsidRPr="00910198">
        <w:rPr>
          <w:rFonts w:eastAsia="Times New Roman" w:cs="Times New Roman"/>
          <w:b/>
          <w:color w:val="005A9E"/>
          <w:sz w:val="40"/>
          <w:szCs w:val="40"/>
        </w:rPr>
        <w:t xml:space="preserve"> Strategic Sustainability Performance Plan</w:t>
      </w:r>
    </w:p>
    <w:p w14:paraId="0409351A" w14:textId="77777777" w:rsidR="00B84183" w:rsidRPr="00910198" w:rsidRDefault="00B84183" w:rsidP="00B84183">
      <w:pPr>
        <w:widowControl w:val="0"/>
        <w:spacing w:after="0"/>
        <w:jc w:val="center"/>
        <w:rPr>
          <w:rFonts w:eastAsia="Times New Roman" w:cs="Times New Roman"/>
          <w:b/>
          <w:color w:val="005A9E"/>
          <w:sz w:val="36"/>
          <w:szCs w:val="36"/>
        </w:rPr>
      </w:pPr>
    </w:p>
    <w:p w14:paraId="7046E2FC" w14:textId="77777777" w:rsidR="00B84183" w:rsidRPr="00910198" w:rsidRDefault="00B84183" w:rsidP="00B84183">
      <w:pPr>
        <w:widowControl w:val="0"/>
        <w:spacing w:after="0"/>
        <w:rPr>
          <w:rFonts w:eastAsia="Times New Roman" w:cs="Times New Roman"/>
          <w:b/>
          <w:color w:val="005A9E"/>
          <w:sz w:val="28"/>
          <w:szCs w:val="28"/>
        </w:rPr>
      </w:pPr>
    </w:p>
    <w:p w14:paraId="6A7ED4C1" w14:textId="77777777" w:rsidR="00B84183" w:rsidRPr="00910198" w:rsidRDefault="00B84183" w:rsidP="00B84183">
      <w:pPr>
        <w:widowControl w:val="0"/>
        <w:spacing w:after="0"/>
        <w:rPr>
          <w:rFonts w:eastAsia="Times New Roman" w:cs="Times New Roman"/>
          <w:b/>
          <w:color w:val="005A9E"/>
          <w:sz w:val="28"/>
          <w:szCs w:val="28"/>
        </w:rPr>
      </w:pPr>
    </w:p>
    <w:p w14:paraId="1EB4F005" w14:textId="77777777" w:rsidR="00B84183" w:rsidRPr="00910198" w:rsidRDefault="00B84183" w:rsidP="00B84183">
      <w:pPr>
        <w:widowControl w:val="0"/>
        <w:spacing w:after="0"/>
        <w:rPr>
          <w:rFonts w:eastAsia="Times New Roman" w:cs="Times New Roman"/>
          <w:b/>
          <w:color w:val="005A9E"/>
          <w:sz w:val="28"/>
          <w:szCs w:val="28"/>
        </w:rPr>
      </w:pPr>
    </w:p>
    <w:p w14:paraId="1E68A59E" w14:textId="77777777" w:rsidR="00B84183" w:rsidRPr="00910198" w:rsidRDefault="00B84183" w:rsidP="00B84183">
      <w:pPr>
        <w:widowControl w:val="0"/>
        <w:spacing w:after="0"/>
        <w:rPr>
          <w:rFonts w:eastAsia="Times New Roman" w:cs="Times New Roman"/>
          <w:b/>
          <w:color w:val="005A9E"/>
          <w:sz w:val="28"/>
          <w:szCs w:val="28"/>
        </w:rPr>
      </w:pPr>
    </w:p>
    <w:p w14:paraId="2FA661E9" w14:textId="77777777" w:rsidR="00B84183" w:rsidRPr="00910198" w:rsidRDefault="00B84183" w:rsidP="00B84183">
      <w:pPr>
        <w:widowControl w:val="0"/>
        <w:spacing w:after="0"/>
        <w:rPr>
          <w:rFonts w:eastAsia="Times New Roman" w:cs="Times New Roman"/>
          <w:b/>
          <w:color w:val="005A9E"/>
          <w:sz w:val="28"/>
          <w:szCs w:val="28"/>
        </w:rPr>
      </w:pPr>
    </w:p>
    <w:p w14:paraId="1D06F460" w14:textId="366467A7" w:rsidR="00B84183" w:rsidRPr="00910198" w:rsidRDefault="005136F7" w:rsidP="00B84183">
      <w:pPr>
        <w:widowControl w:val="0"/>
        <w:spacing w:after="0"/>
        <w:jc w:val="center"/>
        <w:rPr>
          <w:rFonts w:ascii="Book Antiqua" w:eastAsia="Cambria" w:hAnsi="Book Antiqua" w:cs="Times New Roman"/>
          <w:b/>
          <w:color w:val="005A9E"/>
          <w:sz w:val="32"/>
          <w:szCs w:val="32"/>
        </w:rPr>
      </w:pPr>
      <w:r>
        <w:rPr>
          <w:rFonts w:ascii="Book Antiqua" w:eastAsia="Cambria" w:hAnsi="Book Antiqua" w:cs="Times New Roman"/>
          <w:b/>
          <w:color w:val="005A9E"/>
          <w:sz w:val="32"/>
          <w:szCs w:val="32"/>
        </w:rPr>
        <w:t>June 30, 2017</w:t>
      </w:r>
    </w:p>
    <w:p w14:paraId="2ED9BA5A" w14:textId="77777777" w:rsidR="00B84183" w:rsidRPr="00910198" w:rsidRDefault="00B84183" w:rsidP="00B84183">
      <w:pPr>
        <w:widowControl w:val="0"/>
        <w:spacing w:after="0"/>
        <w:jc w:val="center"/>
        <w:rPr>
          <w:rFonts w:ascii="Book Antiqua" w:eastAsia="Cambria" w:hAnsi="Book Antiqua" w:cs="Times New Roman"/>
          <w:b/>
          <w:color w:val="005A9E"/>
          <w:sz w:val="32"/>
          <w:szCs w:val="32"/>
        </w:rPr>
      </w:pPr>
    </w:p>
    <w:p w14:paraId="71CEE05D" w14:textId="77777777" w:rsidR="00B84183" w:rsidRPr="00910198" w:rsidRDefault="00B84183" w:rsidP="00B84183">
      <w:pPr>
        <w:widowControl w:val="0"/>
        <w:spacing w:after="0"/>
        <w:jc w:val="center"/>
        <w:rPr>
          <w:rFonts w:ascii="Book Antiqua" w:eastAsia="Cambria" w:hAnsi="Book Antiqua" w:cs="Times New Roman"/>
          <w:b/>
          <w:color w:val="005A9E"/>
          <w:sz w:val="32"/>
          <w:szCs w:val="32"/>
        </w:rPr>
      </w:pPr>
    </w:p>
    <w:p w14:paraId="28824F8A" w14:textId="77777777" w:rsidR="00B84183" w:rsidRPr="00910198" w:rsidRDefault="00B84183" w:rsidP="00B84183">
      <w:pPr>
        <w:widowControl w:val="0"/>
        <w:spacing w:after="0"/>
        <w:jc w:val="center"/>
        <w:rPr>
          <w:rFonts w:ascii="Book Antiqua" w:eastAsia="Cambria" w:hAnsi="Book Antiqua" w:cs="Times New Roman"/>
          <w:b/>
          <w:color w:val="005A9E"/>
          <w:sz w:val="32"/>
          <w:szCs w:val="32"/>
        </w:rPr>
      </w:pPr>
    </w:p>
    <w:p w14:paraId="2A322F6F" w14:textId="77777777" w:rsidR="00B84183" w:rsidRPr="00910198" w:rsidRDefault="00B84183" w:rsidP="00B84183">
      <w:pPr>
        <w:widowControl w:val="0"/>
        <w:spacing w:after="0"/>
        <w:jc w:val="center"/>
        <w:rPr>
          <w:rFonts w:ascii="Book Antiqua" w:eastAsia="Cambria" w:hAnsi="Book Antiqua" w:cs="Times New Roman"/>
          <w:b/>
          <w:color w:val="005A9E"/>
          <w:sz w:val="32"/>
          <w:szCs w:val="32"/>
        </w:rPr>
      </w:pPr>
    </w:p>
    <w:p w14:paraId="6252880B" w14:textId="77777777" w:rsidR="00B84183" w:rsidRPr="00910198" w:rsidRDefault="00B84183" w:rsidP="00B84183">
      <w:pPr>
        <w:widowControl w:val="0"/>
        <w:spacing w:after="0"/>
        <w:jc w:val="center"/>
        <w:rPr>
          <w:rFonts w:ascii="Book Antiqua" w:eastAsia="Cambria" w:hAnsi="Book Antiqua" w:cs="Times New Roman"/>
          <w:b/>
          <w:color w:val="005A9E"/>
          <w:sz w:val="32"/>
          <w:szCs w:val="32"/>
        </w:rPr>
      </w:pPr>
    </w:p>
    <w:p w14:paraId="1339FC38" w14:textId="77777777" w:rsidR="00B84183" w:rsidRPr="00910198" w:rsidRDefault="00B84183" w:rsidP="00B84183">
      <w:pPr>
        <w:widowControl w:val="0"/>
        <w:spacing w:after="40"/>
        <w:jc w:val="center"/>
        <w:rPr>
          <w:rFonts w:ascii="Book Antiqua" w:eastAsia="Cambria" w:hAnsi="Book Antiqua" w:cs="Times New Roman"/>
          <w:b/>
          <w:i/>
          <w:color w:val="005A9E"/>
          <w:szCs w:val="24"/>
        </w:rPr>
      </w:pPr>
      <w:r w:rsidRPr="00910198">
        <w:rPr>
          <w:rFonts w:ascii="Book Antiqua" w:eastAsia="Cambria" w:hAnsi="Book Antiqua" w:cs="Times New Roman"/>
          <w:b/>
          <w:i/>
          <w:color w:val="005A9E"/>
          <w:szCs w:val="24"/>
        </w:rPr>
        <w:t>Point of Contact:</w:t>
      </w:r>
    </w:p>
    <w:p w14:paraId="328DAB3D" w14:textId="77777777" w:rsidR="00B84183" w:rsidRPr="00D83ED8" w:rsidRDefault="00B84183" w:rsidP="00B84183">
      <w:pPr>
        <w:widowControl w:val="0"/>
        <w:spacing w:after="0"/>
        <w:jc w:val="center"/>
        <w:rPr>
          <w:rFonts w:ascii="Book Antiqua" w:eastAsia="Cambria" w:hAnsi="Book Antiqua" w:cs="Times New Roman"/>
          <w:b/>
          <w:color w:val="005A9E"/>
          <w:szCs w:val="24"/>
        </w:rPr>
      </w:pPr>
      <w:r w:rsidRPr="00D83ED8">
        <w:rPr>
          <w:rFonts w:ascii="Book Antiqua" w:eastAsia="Cambria" w:hAnsi="Book Antiqua" w:cs="Times New Roman"/>
          <w:b/>
          <w:color w:val="005A9E"/>
          <w:szCs w:val="24"/>
        </w:rPr>
        <w:t>Leslie Ford</w:t>
      </w:r>
    </w:p>
    <w:p w14:paraId="7FEF1427" w14:textId="77777777" w:rsidR="00B84183" w:rsidRPr="00D83ED8" w:rsidRDefault="00B84183" w:rsidP="00B84183">
      <w:pPr>
        <w:widowControl w:val="0"/>
        <w:spacing w:after="0"/>
        <w:jc w:val="center"/>
        <w:rPr>
          <w:rFonts w:ascii="Book Antiqua" w:eastAsia="Cambria" w:hAnsi="Book Antiqua" w:cs="Times New Roman"/>
          <w:b/>
          <w:color w:val="005A9E"/>
          <w:szCs w:val="24"/>
        </w:rPr>
      </w:pPr>
      <w:r w:rsidRPr="00D83ED8">
        <w:rPr>
          <w:rFonts w:ascii="Book Antiqua" w:eastAsia="Cambria" w:hAnsi="Book Antiqua" w:cs="Times New Roman"/>
          <w:b/>
          <w:color w:val="005A9E"/>
          <w:szCs w:val="24"/>
        </w:rPr>
        <w:t>leslie.ford@ssa.gov</w:t>
      </w:r>
    </w:p>
    <w:p w14:paraId="11E529EF" w14:textId="77777777" w:rsidR="00B84183" w:rsidRDefault="00B84183" w:rsidP="00B84183">
      <w:pPr>
        <w:widowControl w:val="0"/>
        <w:spacing w:after="0"/>
        <w:jc w:val="center"/>
        <w:rPr>
          <w:rFonts w:ascii="Book Antiqua" w:eastAsia="Cambria" w:hAnsi="Book Antiqua" w:cs="Times New Roman"/>
          <w:b/>
          <w:color w:val="005A9E"/>
          <w:szCs w:val="24"/>
        </w:rPr>
      </w:pPr>
      <w:r w:rsidRPr="00D83ED8">
        <w:rPr>
          <w:rFonts w:ascii="Book Antiqua" w:eastAsia="Cambria" w:hAnsi="Book Antiqua" w:cs="Times New Roman"/>
          <w:b/>
          <w:color w:val="005A9E"/>
          <w:szCs w:val="24"/>
        </w:rPr>
        <w:t>410.594.0111</w:t>
      </w:r>
    </w:p>
    <w:p w14:paraId="1F8682C7" w14:textId="77777777" w:rsidR="00B84183" w:rsidRDefault="00B84183" w:rsidP="00B84183">
      <w:pPr>
        <w:widowControl w:val="0"/>
        <w:spacing w:after="0"/>
        <w:jc w:val="center"/>
        <w:rPr>
          <w:rFonts w:ascii="Book Antiqua" w:eastAsia="Cambria" w:hAnsi="Book Antiqua" w:cs="Times New Roman"/>
          <w:b/>
          <w:color w:val="005A9E"/>
          <w:szCs w:val="24"/>
        </w:rPr>
      </w:pPr>
    </w:p>
    <w:p w14:paraId="0653D4AD" w14:textId="77777777" w:rsidR="00B84183" w:rsidRDefault="00B84183" w:rsidP="00B84183">
      <w:pPr>
        <w:widowControl w:val="0"/>
        <w:spacing w:after="0"/>
        <w:jc w:val="center"/>
        <w:rPr>
          <w:rFonts w:ascii="Book Antiqua" w:eastAsia="Cambria" w:hAnsi="Book Antiqua" w:cs="Times New Roman"/>
          <w:b/>
          <w:color w:val="005A9E"/>
          <w:szCs w:val="24"/>
        </w:rPr>
      </w:pPr>
    </w:p>
    <w:p w14:paraId="5912B628" w14:textId="77777777" w:rsidR="00B84183" w:rsidRDefault="00B84183" w:rsidP="00B84183">
      <w:pPr>
        <w:widowControl w:val="0"/>
        <w:spacing w:after="0"/>
        <w:jc w:val="center"/>
        <w:rPr>
          <w:rFonts w:ascii="Book Antiqua" w:eastAsia="Cambria" w:hAnsi="Book Antiqua" w:cs="Times New Roman"/>
          <w:b/>
          <w:color w:val="005A9E"/>
          <w:szCs w:val="24"/>
        </w:rPr>
      </w:pPr>
    </w:p>
    <w:p w14:paraId="3DE2F70C" w14:textId="77777777" w:rsidR="00B84183" w:rsidRDefault="00B84183" w:rsidP="00B84183">
      <w:pPr>
        <w:widowControl w:val="0"/>
        <w:spacing w:after="0"/>
        <w:jc w:val="center"/>
        <w:rPr>
          <w:rFonts w:ascii="Book Antiqua" w:eastAsia="Cambria" w:hAnsi="Book Antiqua" w:cs="Times New Roman"/>
          <w:b/>
          <w:color w:val="005A9E"/>
          <w:szCs w:val="24"/>
        </w:rPr>
      </w:pPr>
    </w:p>
    <w:p w14:paraId="6F74089A" w14:textId="77777777" w:rsidR="00C36C43" w:rsidRPr="00C36C43" w:rsidRDefault="00C36C43" w:rsidP="00C36C43">
      <w:pPr>
        <w:rPr>
          <w:b/>
        </w:rPr>
      </w:pPr>
    </w:p>
    <w:p w14:paraId="0C66E15B" w14:textId="240798BB" w:rsidR="0041763D" w:rsidRDefault="00C36C43" w:rsidP="00D206DE">
      <w:pPr>
        <w:rPr>
          <w:b/>
          <w:sz w:val="32"/>
          <w:szCs w:val="32"/>
        </w:rPr>
      </w:pPr>
      <w:r w:rsidRPr="00D206DE">
        <w:rPr>
          <w:b/>
          <w:sz w:val="32"/>
          <w:szCs w:val="32"/>
        </w:rPr>
        <w:lastRenderedPageBreak/>
        <w:t>Table of Contents</w:t>
      </w:r>
      <w:bookmarkStart w:id="1" w:name="_Toc441046831"/>
    </w:p>
    <w:p w14:paraId="73AA2282" w14:textId="1915D7F0" w:rsidR="00D206DE" w:rsidRPr="00D206DE" w:rsidRDefault="00D206DE" w:rsidP="00D206DE">
      <w:pPr>
        <w:rPr>
          <w:i/>
          <w:szCs w:val="32"/>
        </w:rPr>
      </w:pPr>
      <w:r w:rsidRPr="00D206DE">
        <w:rPr>
          <w:i/>
          <w:szCs w:val="32"/>
        </w:rPr>
        <w:t>(Use</w:t>
      </w:r>
      <w:r>
        <w:rPr>
          <w:i/>
          <w:szCs w:val="32"/>
        </w:rPr>
        <w:t>s</w:t>
      </w:r>
      <w:r w:rsidRPr="00D206DE">
        <w:rPr>
          <w:i/>
          <w:szCs w:val="32"/>
        </w:rPr>
        <w:t xml:space="preserve"> Table of Contents function in Word</w:t>
      </w:r>
      <w:r>
        <w:rPr>
          <w:i/>
          <w:szCs w:val="32"/>
        </w:rPr>
        <w:t>. Use “update table”</w:t>
      </w:r>
      <w:r w:rsidRPr="00D206DE">
        <w:rPr>
          <w:i/>
          <w:szCs w:val="32"/>
        </w:rPr>
        <w:t xml:space="preserve"> to automatically update page numbers)</w:t>
      </w:r>
    </w:p>
    <w:sdt>
      <w:sdtPr>
        <w:id w:val="27152137"/>
        <w:docPartObj>
          <w:docPartGallery w:val="Table of Contents"/>
          <w:docPartUnique/>
        </w:docPartObj>
      </w:sdtPr>
      <w:sdtEndPr>
        <w:rPr>
          <w:rFonts w:cs="Times New Roman"/>
          <w:b/>
          <w:bCs/>
          <w:noProof/>
          <w:szCs w:val="24"/>
        </w:rPr>
      </w:sdtEndPr>
      <w:sdtContent>
        <w:p w14:paraId="71817F4E" w14:textId="61E008F8" w:rsidR="0041763D" w:rsidRDefault="0041763D" w:rsidP="0041763D"/>
        <w:p w14:paraId="25A40A68" w14:textId="046E7FC5" w:rsidR="00EA3F94" w:rsidRDefault="00263174">
          <w:pPr>
            <w:pStyle w:val="TOC1"/>
            <w:rPr>
              <w:rFonts w:asciiTheme="minorHAnsi" w:eastAsiaTheme="minorEastAsia" w:hAnsiTheme="minorHAnsi"/>
              <w:sz w:val="22"/>
              <w:szCs w:val="22"/>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486579593" w:history="1">
            <w:r w:rsidR="00EA3F94" w:rsidRPr="002D553F">
              <w:rPr>
                <w:rStyle w:val="Hyperlink"/>
              </w:rPr>
              <w:t>Policy Statement</w:t>
            </w:r>
            <w:r w:rsidR="00EA3F94">
              <w:rPr>
                <w:webHidden/>
              </w:rPr>
              <w:tab/>
            </w:r>
            <w:r w:rsidR="00EA3F94">
              <w:rPr>
                <w:webHidden/>
              </w:rPr>
              <w:fldChar w:fldCharType="begin"/>
            </w:r>
            <w:r w:rsidR="00EA3F94">
              <w:rPr>
                <w:webHidden/>
              </w:rPr>
              <w:instrText xml:space="preserve"> PAGEREF _Toc486579593 \h </w:instrText>
            </w:r>
            <w:r w:rsidR="00EA3F94">
              <w:rPr>
                <w:webHidden/>
              </w:rPr>
            </w:r>
            <w:r w:rsidR="00EA3F94">
              <w:rPr>
                <w:webHidden/>
              </w:rPr>
              <w:fldChar w:fldCharType="separate"/>
            </w:r>
            <w:r w:rsidR="00EA3F94">
              <w:rPr>
                <w:webHidden/>
              </w:rPr>
              <w:t>3</w:t>
            </w:r>
            <w:r w:rsidR="00EA3F94">
              <w:rPr>
                <w:webHidden/>
              </w:rPr>
              <w:fldChar w:fldCharType="end"/>
            </w:r>
          </w:hyperlink>
        </w:p>
        <w:p w14:paraId="21300D20" w14:textId="4CBAA895" w:rsidR="00EA3F94" w:rsidRDefault="0049620D">
          <w:pPr>
            <w:pStyle w:val="TOC1"/>
            <w:rPr>
              <w:rFonts w:asciiTheme="minorHAnsi" w:eastAsiaTheme="minorEastAsia" w:hAnsiTheme="minorHAnsi"/>
              <w:sz w:val="22"/>
              <w:szCs w:val="22"/>
            </w:rPr>
          </w:pPr>
          <w:hyperlink w:anchor="_Toc486579594" w:history="1">
            <w:r w:rsidR="00EA3F94" w:rsidRPr="002D553F">
              <w:rPr>
                <w:rStyle w:val="Hyperlink"/>
              </w:rPr>
              <w:t>Executive Summary</w:t>
            </w:r>
            <w:r w:rsidR="00EA3F94">
              <w:rPr>
                <w:webHidden/>
              </w:rPr>
              <w:tab/>
            </w:r>
            <w:r w:rsidR="00EA3F94">
              <w:rPr>
                <w:webHidden/>
              </w:rPr>
              <w:fldChar w:fldCharType="begin"/>
            </w:r>
            <w:r w:rsidR="00EA3F94">
              <w:rPr>
                <w:webHidden/>
              </w:rPr>
              <w:instrText xml:space="preserve"> PAGEREF _Toc486579594 \h </w:instrText>
            </w:r>
            <w:r w:rsidR="00EA3F94">
              <w:rPr>
                <w:webHidden/>
              </w:rPr>
            </w:r>
            <w:r w:rsidR="00EA3F94">
              <w:rPr>
                <w:webHidden/>
              </w:rPr>
              <w:fldChar w:fldCharType="separate"/>
            </w:r>
            <w:r w:rsidR="00EA3F94">
              <w:rPr>
                <w:webHidden/>
              </w:rPr>
              <w:t>4</w:t>
            </w:r>
            <w:r w:rsidR="00EA3F94">
              <w:rPr>
                <w:webHidden/>
              </w:rPr>
              <w:fldChar w:fldCharType="end"/>
            </w:r>
          </w:hyperlink>
        </w:p>
        <w:p w14:paraId="4B745A31" w14:textId="4ABFA14B" w:rsidR="00EA3F94" w:rsidRDefault="0049620D">
          <w:pPr>
            <w:pStyle w:val="TOC1"/>
            <w:rPr>
              <w:rFonts w:asciiTheme="minorHAnsi" w:eastAsiaTheme="minorEastAsia" w:hAnsiTheme="minorHAnsi"/>
              <w:sz w:val="22"/>
              <w:szCs w:val="22"/>
            </w:rPr>
          </w:pPr>
          <w:hyperlink w:anchor="_Toc486579595" w:history="1">
            <w:r w:rsidR="00EA3F94" w:rsidRPr="002D553F">
              <w:rPr>
                <w:rStyle w:val="Hyperlink"/>
              </w:rPr>
              <w:t>Agency Progress and Strategies to Meet Federal Sustainability Goals</w:t>
            </w:r>
            <w:r w:rsidR="00EA3F94">
              <w:rPr>
                <w:webHidden/>
              </w:rPr>
              <w:tab/>
            </w:r>
            <w:r w:rsidR="00EA3F94">
              <w:rPr>
                <w:webHidden/>
              </w:rPr>
              <w:fldChar w:fldCharType="begin"/>
            </w:r>
            <w:r w:rsidR="00EA3F94">
              <w:rPr>
                <w:webHidden/>
              </w:rPr>
              <w:instrText xml:space="preserve"> PAGEREF _Toc486579595 \h </w:instrText>
            </w:r>
            <w:r w:rsidR="00EA3F94">
              <w:rPr>
                <w:webHidden/>
              </w:rPr>
            </w:r>
            <w:r w:rsidR="00EA3F94">
              <w:rPr>
                <w:webHidden/>
              </w:rPr>
              <w:fldChar w:fldCharType="separate"/>
            </w:r>
            <w:r w:rsidR="00EA3F94">
              <w:rPr>
                <w:webHidden/>
              </w:rPr>
              <w:t>9</w:t>
            </w:r>
            <w:r w:rsidR="00EA3F94">
              <w:rPr>
                <w:webHidden/>
              </w:rPr>
              <w:fldChar w:fldCharType="end"/>
            </w:r>
          </w:hyperlink>
        </w:p>
        <w:p w14:paraId="49B4F446" w14:textId="1727231A" w:rsidR="00EA3F94" w:rsidRDefault="0049620D">
          <w:pPr>
            <w:pStyle w:val="TOC2"/>
            <w:rPr>
              <w:rFonts w:asciiTheme="minorHAnsi" w:eastAsiaTheme="minorEastAsia" w:hAnsiTheme="minorHAnsi"/>
              <w:sz w:val="22"/>
              <w:szCs w:val="22"/>
            </w:rPr>
          </w:pPr>
          <w:hyperlink w:anchor="_Toc486579596" w:history="1">
            <w:r w:rsidR="00EA3F94" w:rsidRPr="002D553F">
              <w:rPr>
                <w:rStyle w:val="Hyperlink"/>
              </w:rPr>
              <w:t>Goal 1: Greenhouse Gas (GHG) Reduction</w:t>
            </w:r>
            <w:r w:rsidR="00EA3F94">
              <w:rPr>
                <w:webHidden/>
              </w:rPr>
              <w:tab/>
            </w:r>
            <w:r w:rsidR="00EA3F94">
              <w:rPr>
                <w:webHidden/>
              </w:rPr>
              <w:fldChar w:fldCharType="begin"/>
            </w:r>
            <w:r w:rsidR="00EA3F94">
              <w:rPr>
                <w:webHidden/>
              </w:rPr>
              <w:instrText xml:space="preserve"> PAGEREF _Toc486579596 \h </w:instrText>
            </w:r>
            <w:r w:rsidR="00EA3F94">
              <w:rPr>
                <w:webHidden/>
              </w:rPr>
            </w:r>
            <w:r w:rsidR="00EA3F94">
              <w:rPr>
                <w:webHidden/>
              </w:rPr>
              <w:fldChar w:fldCharType="separate"/>
            </w:r>
            <w:r w:rsidR="00EA3F94">
              <w:rPr>
                <w:webHidden/>
              </w:rPr>
              <w:t>9</w:t>
            </w:r>
            <w:r w:rsidR="00EA3F94">
              <w:rPr>
                <w:webHidden/>
              </w:rPr>
              <w:fldChar w:fldCharType="end"/>
            </w:r>
          </w:hyperlink>
        </w:p>
        <w:p w14:paraId="3E0BFF8A" w14:textId="69127627" w:rsidR="00EA3F94" w:rsidRDefault="0049620D">
          <w:pPr>
            <w:pStyle w:val="TOC2"/>
            <w:rPr>
              <w:rFonts w:asciiTheme="minorHAnsi" w:eastAsiaTheme="minorEastAsia" w:hAnsiTheme="minorHAnsi"/>
              <w:sz w:val="22"/>
              <w:szCs w:val="22"/>
            </w:rPr>
          </w:pPr>
          <w:hyperlink w:anchor="_Toc486579597" w:history="1">
            <w:r w:rsidR="00EA3F94" w:rsidRPr="002D553F">
              <w:rPr>
                <w:rStyle w:val="Hyperlink"/>
              </w:rPr>
              <w:t>Goal 2: Sustainable Buildings</w:t>
            </w:r>
            <w:r w:rsidR="00EA3F94">
              <w:rPr>
                <w:webHidden/>
              </w:rPr>
              <w:tab/>
            </w:r>
            <w:r w:rsidR="00EA3F94">
              <w:rPr>
                <w:webHidden/>
              </w:rPr>
              <w:fldChar w:fldCharType="begin"/>
            </w:r>
            <w:r w:rsidR="00EA3F94">
              <w:rPr>
                <w:webHidden/>
              </w:rPr>
              <w:instrText xml:space="preserve"> PAGEREF _Toc486579597 \h </w:instrText>
            </w:r>
            <w:r w:rsidR="00EA3F94">
              <w:rPr>
                <w:webHidden/>
              </w:rPr>
            </w:r>
            <w:r w:rsidR="00EA3F94">
              <w:rPr>
                <w:webHidden/>
              </w:rPr>
              <w:fldChar w:fldCharType="separate"/>
            </w:r>
            <w:r w:rsidR="00EA3F94">
              <w:rPr>
                <w:webHidden/>
              </w:rPr>
              <w:t>12</w:t>
            </w:r>
            <w:r w:rsidR="00EA3F94">
              <w:rPr>
                <w:webHidden/>
              </w:rPr>
              <w:fldChar w:fldCharType="end"/>
            </w:r>
          </w:hyperlink>
        </w:p>
        <w:p w14:paraId="6D57305D" w14:textId="2548B022" w:rsidR="00EA3F94" w:rsidRDefault="0049620D">
          <w:pPr>
            <w:pStyle w:val="TOC2"/>
            <w:rPr>
              <w:rFonts w:asciiTheme="minorHAnsi" w:eastAsiaTheme="minorEastAsia" w:hAnsiTheme="minorHAnsi"/>
              <w:sz w:val="22"/>
              <w:szCs w:val="22"/>
            </w:rPr>
          </w:pPr>
          <w:hyperlink w:anchor="_Toc486579598" w:history="1">
            <w:r w:rsidR="00EA3F94" w:rsidRPr="002D553F">
              <w:rPr>
                <w:rStyle w:val="Hyperlink"/>
              </w:rPr>
              <w:t>Goal 3: Clean &amp; Renewable Energy</w:t>
            </w:r>
            <w:r w:rsidR="00EA3F94">
              <w:rPr>
                <w:webHidden/>
              </w:rPr>
              <w:tab/>
            </w:r>
            <w:r w:rsidR="00EA3F94">
              <w:rPr>
                <w:webHidden/>
              </w:rPr>
              <w:fldChar w:fldCharType="begin"/>
            </w:r>
            <w:r w:rsidR="00EA3F94">
              <w:rPr>
                <w:webHidden/>
              </w:rPr>
              <w:instrText xml:space="preserve"> PAGEREF _Toc486579598 \h </w:instrText>
            </w:r>
            <w:r w:rsidR="00EA3F94">
              <w:rPr>
                <w:webHidden/>
              </w:rPr>
            </w:r>
            <w:r w:rsidR="00EA3F94">
              <w:rPr>
                <w:webHidden/>
              </w:rPr>
              <w:fldChar w:fldCharType="separate"/>
            </w:r>
            <w:r w:rsidR="00EA3F94">
              <w:rPr>
                <w:webHidden/>
              </w:rPr>
              <w:t>16</w:t>
            </w:r>
            <w:r w:rsidR="00EA3F94">
              <w:rPr>
                <w:webHidden/>
              </w:rPr>
              <w:fldChar w:fldCharType="end"/>
            </w:r>
          </w:hyperlink>
        </w:p>
        <w:p w14:paraId="44E75AD1" w14:textId="5CC52D95" w:rsidR="00EA3F94" w:rsidRDefault="0049620D">
          <w:pPr>
            <w:pStyle w:val="TOC2"/>
            <w:rPr>
              <w:rFonts w:asciiTheme="minorHAnsi" w:eastAsiaTheme="minorEastAsia" w:hAnsiTheme="minorHAnsi"/>
              <w:sz w:val="22"/>
              <w:szCs w:val="22"/>
            </w:rPr>
          </w:pPr>
          <w:hyperlink w:anchor="_Toc486579599" w:history="1">
            <w:r w:rsidR="00EA3F94" w:rsidRPr="002D553F">
              <w:rPr>
                <w:rStyle w:val="Hyperlink"/>
              </w:rPr>
              <w:t>Goal 4: Water Use Efficiency &amp; Management</w:t>
            </w:r>
            <w:r w:rsidR="00EA3F94">
              <w:rPr>
                <w:webHidden/>
              </w:rPr>
              <w:tab/>
            </w:r>
            <w:r w:rsidR="00EA3F94">
              <w:rPr>
                <w:webHidden/>
              </w:rPr>
              <w:fldChar w:fldCharType="begin"/>
            </w:r>
            <w:r w:rsidR="00EA3F94">
              <w:rPr>
                <w:webHidden/>
              </w:rPr>
              <w:instrText xml:space="preserve"> PAGEREF _Toc486579599 \h </w:instrText>
            </w:r>
            <w:r w:rsidR="00EA3F94">
              <w:rPr>
                <w:webHidden/>
              </w:rPr>
            </w:r>
            <w:r w:rsidR="00EA3F94">
              <w:rPr>
                <w:webHidden/>
              </w:rPr>
              <w:fldChar w:fldCharType="separate"/>
            </w:r>
            <w:r w:rsidR="00EA3F94">
              <w:rPr>
                <w:webHidden/>
              </w:rPr>
              <w:t>18</w:t>
            </w:r>
            <w:r w:rsidR="00EA3F94">
              <w:rPr>
                <w:webHidden/>
              </w:rPr>
              <w:fldChar w:fldCharType="end"/>
            </w:r>
          </w:hyperlink>
        </w:p>
        <w:p w14:paraId="7A93E7A7" w14:textId="38864C25" w:rsidR="00EA3F94" w:rsidRDefault="0049620D">
          <w:pPr>
            <w:pStyle w:val="TOC2"/>
            <w:rPr>
              <w:rFonts w:asciiTheme="minorHAnsi" w:eastAsiaTheme="minorEastAsia" w:hAnsiTheme="minorHAnsi"/>
              <w:sz w:val="22"/>
              <w:szCs w:val="22"/>
            </w:rPr>
          </w:pPr>
          <w:hyperlink w:anchor="_Toc486579600" w:history="1">
            <w:r w:rsidR="00EA3F94" w:rsidRPr="002D553F">
              <w:rPr>
                <w:rStyle w:val="Hyperlink"/>
              </w:rPr>
              <w:t>Goal 5: Fleet Management</w:t>
            </w:r>
            <w:r w:rsidR="00EA3F94">
              <w:rPr>
                <w:webHidden/>
              </w:rPr>
              <w:tab/>
            </w:r>
            <w:r w:rsidR="00EA3F94">
              <w:rPr>
                <w:webHidden/>
              </w:rPr>
              <w:fldChar w:fldCharType="begin"/>
            </w:r>
            <w:r w:rsidR="00EA3F94">
              <w:rPr>
                <w:webHidden/>
              </w:rPr>
              <w:instrText xml:space="preserve"> PAGEREF _Toc486579600 \h </w:instrText>
            </w:r>
            <w:r w:rsidR="00EA3F94">
              <w:rPr>
                <w:webHidden/>
              </w:rPr>
            </w:r>
            <w:r w:rsidR="00EA3F94">
              <w:rPr>
                <w:webHidden/>
              </w:rPr>
              <w:fldChar w:fldCharType="separate"/>
            </w:r>
            <w:r w:rsidR="00EA3F94">
              <w:rPr>
                <w:webHidden/>
              </w:rPr>
              <w:t>20</w:t>
            </w:r>
            <w:r w:rsidR="00EA3F94">
              <w:rPr>
                <w:webHidden/>
              </w:rPr>
              <w:fldChar w:fldCharType="end"/>
            </w:r>
          </w:hyperlink>
        </w:p>
        <w:p w14:paraId="172AE8CF" w14:textId="0EE2968B" w:rsidR="00EA3F94" w:rsidRDefault="0049620D">
          <w:pPr>
            <w:pStyle w:val="TOC2"/>
            <w:rPr>
              <w:rFonts w:asciiTheme="minorHAnsi" w:eastAsiaTheme="minorEastAsia" w:hAnsiTheme="minorHAnsi"/>
              <w:sz w:val="22"/>
              <w:szCs w:val="22"/>
            </w:rPr>
          </w:pPr>
          <w:hyperlink w:anchor="_Toc486579601" w:history="1">
            <w:r w:rsidR="00EA3F94" w:rsidRPr="002D553F">
              <w:rPr>
                <w:rStyle w:val="Hyperlink"/>
              </w:rPr>
              <w:t>Goal 6: Sustainable Acquisition</w:t>
            </w:r>
            <w:r w:rsidR="00EA3F94">
              <w:rPr>
                <w:webHidden/>
              </w:rPr>
              <w:tab/>
            </w:r>
            <w:r w:rsidR="00EA3F94">
              <w:rPr>
                <w:webHidden/>
              </w:rPr>
              <w:fldChar w:fldCharType="begin"/>
            </w:r>
            <w:r w:rsidR="00EA3F94">
              <w:rPr>
                <w:webHidden/>
              </w:rPr>
              <w:instrText xml:space="preserve"> PAGEREF _Toc486579601 \h </w:instrText>
            </w:r>
            <w:r w:rsidR="00EA3F94">
              <w:rPr>
                <w:webHidden/>
              </w:rPr>
            </w:r>
            <w:r w:rsidR="00EA3F94">
              <w:rPr>
                <w:webHidden/>
              </w:rPr>
              <w:fldChar w:fldCharType="separate"/>
            </w:r>
            <w:r w:rsidR="00EA3F94">
              <w:rPr>
                <w:webHidden/>
              </w:rPr>
              <w:t>23</w:t>
            </w:r>
            <w:r w:rsidR="00EA3F94">
              <w:rPr>
                <w:webHidden/>
              </w:rPr>
              <w:fldChar w:fldCharType="end"/>
            </w:r>
          </w:hyperlink>
        </w:p>
        <w:p w14:paraId="6431F97B" w14:textId="0EF2E099" w:rsidR="00EA3F94" w:rsidRDefault="0049620D">
          <w:pPr>
            <w:pStyle w:val="TOC2"/>
            <w:rPr>
              <w:rFonts w:asciiTheme="minorHAnsi" w:eastAsiaTheme="minorEastAsia" w:hAnsiTheme="minorHAnsi"/>
              <w:sz w:val="22"/>
              <w:szCs w:val="22"/>
            </w:rPr>
          </w:pPr>
          <w:hyperlink w:anchor="_Toc486579602" w:history="1">
            <w:r w:rsidR="00EA3F94" w:rsidRPr="002D553F">
              <w:rPr>
                <w:rStyle w:val="Hyperlink"/>
              </w:rPr>
              <w:t>Goal 7: Pollution Prevention &amp; Waste Reduction</w:t>
            </w:r>
            <w:r w:rsidR="00EA3F94">
              <w:rPr>
                <w:webHidden/>
              </w:rPr>
              <w:tab/>
            </w:r>
            <w:r w:rsidR="00EA3F94">
              <w:rPr>
                <w:webHidden/>
              </w:rPr>
              <w:fldChar w:fldCharType="begin"/>
            </w:r>
            <w:r w:rsidR="00EA3F94">
              <w:rPr>
                <w:webHidden/>
              </w:rPr>
              <w:instrText xml:space="preserve"> PAGEREF _Toc486579602 \h </w:instrText>
            </w:r>
            <w:r w:rsidR="00EA3F94">
              <w:rPr>
                <w:webHidden/>
              </w:rPr>
            </w:r>
            <w:r w:rsidR="00EA3F94">
              <w:rPr>
                <w:webHidden/>
              </w:rPr>
              <w:fldChar w:fldCharType="separate"/>
            </w:r>
            <w:r w:rsidR="00EA3F94">
              <w:rPr>
                <w:webHidden/>
              </w:rPr>
              <w:t>26</w:t>
            </w:r>
            <w:r w:rsidR="00EA3F94">
              <w:rPr>
                <w:webHidden/>
              </w:rPr>
              <w:fldChar w:fldCharType="end"/>
            </w:r>
          </w:hyperlink>
        </w:p>
        <w:p w14:paraId="6C3CCAEF" w14:textId="14104D9F" w:rsidR="00EA3F94" w:rsidRDefault="0049620D">
          <w:pPr>
            <w:pStyle w:val="TOC2"/>
            <w:rPr>
              <w:rFonts w:asciiTheme="minorHAnsi" w:eastAsiaTheme="minorEastAsia" w:hAnsiTheme="minorHAnsi"/>
              <w:sz w:val="22"/>
              <w:szCs w:val="22"/>
            </w:rPr>
          </w:pPr>
          <w:hyperlink w:anchor="_Toc486579603" w:history="1">
            <w:r w:rsidR="00EA3F94" w:rsidRPr="002D553F">
              <w:rPr>
                <w:rStyle w:val="Hyperlink"/>
              </w:rPr>
              <w:t>Goal 8: Energy Performance Contracts</w:t>
            </w:r>
            <w:r w:rsidR="00EA3F94">
              <w:rPr>
                <w:webHidden/>
              </w:rPr>
              <w:tab/>
            </w:r>
            <w:r w:rsidR="00EA3F94">
              <w:rPr>
                <w:webHidden/>
              </w:rPr>
              <w:fldChar w:fldCharType="begin"/>
            </w:r>
            <w:r w:rsidR="00EA3F94">
              <w:rPr>
                <w:webHidden/>
              </w:rPr>
              <w:instrText xml:space="preserve"> PAGEREF _Toc486579603 \h </w:instrText>
            </w:r>
            <w:r w:rsidR="00EA3F94">
              <w:rPr>
                <w:webHidden/>
              </w:rPr>
            </w:r>
            <w:r w:rsidR="00EA3F94">
              <w:rPr>
                <w:webHidden/>
              </w:rPr>
              <w:fldChar w:fldCharType="separate"/>
            </w:r>
            <w:r w:rsidR="00EA3F94">
              <w:rPr>
                <w:webHidden/>
              </w:rPr>
              <w:t>28</w:t>
            </w:r>
            <w:r w:rsidR="00EA3F94">
              <w:rPr>
                <w:webHidden/>
              </w:rPr>
              <w:fldChar w:fldCharType="end"/>
            </w:r>
          </w:hyperlink>
        </w:p>
        <w:p w14:paraId="73421833" w14:textId="51ACA8A8" w:rsidR="00EA3F94" w:rsidRDefault="0049620D">
          <w:pPr>
            <w:pStyle w:val="TOC2"/>
            <w:rPr>
              <w:rFonts w:asciiTheme="minorHAnsi" w:eastAsiaTheme="minorEastAsia" w:hAnsiTheme="minorHAnsi"/>
              <w:sz w:val="22"/>
              <w:szCs w:val="22"/>
            </w:rPr>
          </w:pPr>
          <w:hyperlink w:anchor="_Toc486579604" w:history="1">
            <w:r w:rsidR="00EA3F94" w:rsidRPr="002D553F">
              <w:rPr>
                <w:rStyle w:val="Hyperlink"/>
              </w:rPr>
              <w:t>Goal 9: Electronics Stewardship &amp; Data Centers</w:t>
            </w:r>
            <w:r w:rsidR="00EA3F94">
              <w:rPr>
                <w:webHidden/>
              </w:rPr>
              <w:tab/>
            </w:r>
            <w:r w:rsidR="00EA3F94">
              <w:rPr>
                <w:webHidden/>
              </w:rPr>
              <w:fldChar w:fldCharType="begin"/>
            </w:r>
            <w:r w:rsidR="00EA3F94">
              <w:rPr>
                <w:webHidden/>
              </w:rPr>
              <w:instrText xml:space="preserve"> PAGEREF _Toc486579604 \h </w:instrText>
            </w:r>
            <w:r w:rsidR="00EA3F94">
              <w:rPr>
                <w:webHidden/>
              </w:rPr>
            </w:r>
            <w:r w:rsidR="00EA3F94">
              <w:rPr>
                <w:webHidden/>
              </w:rPr>
              <w:fldChar w:fldCharType="separate"/>
            </w:r>
            <w:r w:rsidR="00EA3F94">
              <w:rPr>
                <w:webHidden/>
              </w:rPr>
              <w:t>30</w:t>
            </w:r>
            <w:r w:rsidR="00EA3F94">
              <w:rPr>
                <w:webHidden/>
              </w:rPr>
              <w:fldChar w:fldCharType="end"/>
            </w:r>
          </w:hyperlink>
        </w:p>
        <w:p w14:paraId="49A75397" w14:textId="5BA988FC" w:rsidR="00EA3F94" w:rsidRDefault="0049620D">
          <w:pPr>
            <w:pStyle w:val="TOC2"/>
            <w:rPr>
              <w:rFonts w:asciiTheme="minorHAnsi" w:eastAsiaTheme="minorEastAsia" w:hAnsiTheme="minorHAnsi"/>
              <w:sz w:val="22"/>
              <w:szCs w:val="22"/>
            </w:rPr>
          </w:pPr>
          <w:hyperlink w:anchor="_Toc486579605" w:history="1">
            <w:r w:rsidR="00EA3F94" w:rsidRPr="002D553F">
              <w:rPr>
                <w:rStyle w:val="Hyperlink"/>
              </w:rPr>
              <w:t>Goal 10: Climate Change Adaptation and Resilience</w:t>
            </w:r>
            <w:r w:rsidR="00EA3F94">
              <w:rPr>
                <w:webHidden/>
              </w:rPr>
              <w:tab/>
            </w:r>
            <w:r w:rsidR="00EA3F94">
              <w:rPr>
                <w:webHidden/>
              </w:rPr>
              <w:fldChar w:fldCharType="begin"/>
            </w:r>
            <w:r w:rsidR="00EA3F94">
              <w:rPr>
                <w:webHidden/>
              </w:rPr>
              <w:instrText xml:space="preserve"> PAGEREF _Toc486579605 \h </w:instrText>
            </w:r>
            <w:r w:rsidR="00EA3F94">
              <w:rPr>
                <w:webHidden/>
              </w:rPr>
            </w:r>
            <w:r w:rsidR="00EA3F94">
              <w:rPr>
                <w:webHidden/>
              </w:rPr>
              <w:fldChar w:fldCharType="separate"/>
            </w:r>
            <w:r w:rsidR="00EA3F94">
              <w:rPr>
                <w:webHidden/>
              </w:rPr>
              <w:t>33</w:t>
            </w:r>
            <w:r w:rsidR="00EA3F94">
              <w:rPr>
                <w:webHidden/>
              </w:rPr>
              <w:fldChar w:fldCharType="end"/>
            </w:r>
          </w:hyperlink>
        </w:p>
        <w:p w14:paraId="333E9376" w14:textId="7D39DF83" w:rsidR="00EA3F94" w:rsidRDefault="0049620D">
          <w:pPr>
            <w:pStyle w:val="TOC1"/>
            <w:rPr>
              <w:rFonts w:asciiTheme="minorHAnsi" w:eastAsiaTheme="minorEastAsia" w:hAnsiTheme="minorHAnsi"/>
              <w:sz w:val="22"/>
              <w:szCs w:val="22"/>
            </w:rPr>
          </w:pPr>
          <w:hyperlink w:anchor="_Toc486579606" w:history="1">
            <w:r w:rsidR="00EA3F94" w:rsidRPr="002D553F">
              <w:rPr>
                <w:rStyle w:val="Hyperlink"/>
              </w:rPr>
              <w:t>Appendix A – Fleet Management Plan &amp; Vehicle Allocation Methodology</w:t>
            </w:r>
            <w:r w:rsidR="00EA3F94">
              <w:rPr>
                <w:webHidden/>
              </w:rPr>
              <w:tab/>
            </w:r>
            <w:r w:rsidR="00EA3F94">
              <w:rPr>
                <w:webHidden/>
              </w:rPr>
              <w:fldChar w:fldCharType="begin"/>
            </w:r>
            <w:r w:rsidR="00EA3F94">
              <w:rPr>
                <w:webHidden/>
              </w:rPr>
              <w:instrText xml:space="preserve"> PAGEREF _Toc486579606 \h </w:instrText>
            </w:r>
            <w:r w:rsidR="00EA3F94">
              <w:rPr>
                <w:webHidden/>
              </w:rPr>
            </w:r>
            <w:r w:rsidR="00EA3F94">
              <w:rPr>
                <w:webHidden/>
              </w:rPr>
              <w:fldChar w:fldCharType="separate"/>
            </w:r>
            <w:r w:rsidR="00EA3F94">
              <w:rPr>
                <w:webHidden/>
              </w:rPr>
              <w:t>35</w:t>
            </w:r>
            <w:r w:rsidR="00EA3F94">
              <w:rPr>
                <w:webHidden/>
              </w:rPr>
              <w:fldChar w:fldCharType="end"/>
            </w:r>
          </w:hyperlink>
        </w:p>
        <w:p w14:paraId="02ABD3E9" w14:textId="32951575" w:rsidR="00EA3F94" w:rsidRDefault="0049620D">
          <w:pPr>
            <w:pStyle w:val="TOC1"/>
            <w:rPr>
              <w:rFonts w:asciiTheme="minorHAnsi" w:eastAsiaTheme="minorEastAsia" w:hAnsiTheme="minorHAnsi"/>
              <w:sz w:val="22"/>
              <w:szCs w:val="22"/>
            </w:rPr>
          </w:pPr>
          <w:hyperlink w:anchor="_Toc486579607" w:history="1">
            <w:r w:rsidR="00EA3F94" w:rsidRPr="002D553F">
              <w:rPr>
                <w:rStyle w:val="Hyperlink"/>
              </w:rPr>
              <w:t>Appendix B – Multimodal Access Plan</w:t>
            </w:r>
            <w:r w:rsidR="00EA3F94">
              <w:rPr>
                <w:webHidden/>
              </w:rPr>
              <w:tab/>
            </w:r>
            <w:r w:rsidR="00EA3F94">
              <w:rPr>
                <w:webHidden/>
              </w:rPr>
              <w:fldChar w:fldCharType="begin"/>
            </w:r>
            <w:r w:rsidR="00EA3F94">
              <w:rPr>
                <w:webHidden/>
              </w:rPr>
              <w:instrText xml:space="preserve"> PAGEREF _Toc486579607 \h </w:instrText>
            </w:r>
            <w:r w:rsidR="00EA3F94">
              <w:rPr>
                <w:webHidden/>
              </w:rPr>
            </w:r>
            <w:r w:rsidR="00EA3F94">
              <w:rPr>
                <w:webHidden/>
              </w:rPr>
              <w:fldChar w:fldCharType="separate"/>
            </w:r>
            <w:r w:rsidR="00EA3F94">
              <w:rPr>
                <w:webHidden/>
              </w:rPr>
              <w:t>42</w:t>
            </w:r>
            <w:r w:rsidR="00EA3F94">
              <w:rPr>
                <w:webHidden/>
              </w:rPr>
              <w:fldChar w:fldCharType="end"/>
            </w:r>
          </w:hyperlink>
        </w:p>
        <w:p w14:paraId="14ED5469" w14:textId="02DA6914" w:rsidR="00EA3F94" w:rsidRDefault="0049620D">
          <w:pPr>
            <w:pStyle w:val="TOC1"/>
            <w:rPr>
              <w:rFonts w:asciiTheme="minorHAnsi" w:eastAsiaTheme="minorEastAsia" w:hAnsiTheme="minorHAnsi"/>
              <w:sz w:val="22"/>
              <w:szCs w:val="22"/>
            </w:rPr>
          </w:pPr>
          <w:hyperlink w:anchor="_Toc486579608" w:history="1">
            <w:r w:rsidR="00EA3F94" w:rsidRPr="002D553F">
              <w:rPr>
                <w:rStyle w:val="Hyperlink"/>
              </w:rPr>
              <w:t>Appendix C – Acronyms and Units</w:t>
            </w:r>
            <w:r w:rsidR="00EA3F94">
              <w:rPr>
                <w:webHidden/>
              </w:rPr>
              <w:tab/>
            </w:r>
            <w:r w:rsidR="00EA3F94">
              <w:rPr>
                <w:webHidden/>
              </w:rPr>
              <w:fldChar w:fldCharType="begin"/>
            </w:r>
            <w:r w:rsidR="00EA3F94">
              <w:rPr>
                <w:webHidden/>
              </w:rPr>
              <w:instrText xml:space="preserve"> PAGEREF _Toc486579608 \h </w:instrText>
            </w:r>
            <w:r w:rsidR="00EA3F94">
              <w:rPr>
                <w:webHidden/>
              </w:rPr>
            </w:r>
            <w:r w:rsidR="00EA3F94">
              <w:rPr>
                <w:webHidden/>
              </w:rPr>
              <w:fldChar w:fldCharType="separate"/>
            </w:r>
            <w:r w:rsidR="00EA3F94">
              <w:rPr>
                <w:webHidden/>
              </w:rPr>
              <w:t>45</w:t>
            </w:r>
            <w:r w:rsidR="00EA3F94">
              <w:rPr>
                <w:webHidden/>
              </w:rPr>
              <w:fldChar w:fldCharType="end"/>
            </w:r>
          </w:hyperlink>
        </w:p>
        <w:p w14:paraId="0FFDBF50" w14:textId="1516C584" w:rsidR="0041763D" w:rsidRPr="00263174" w:rsidRDefault="00263174">
          <w:pPr>
            <w:rPr>
              <w:rFonts w:cs="Times New Roman"/>
              <w:szCs w:val="24"/>
            </w:rPr>
          </w:pPr>
          <w:r>
            <w:rPr>
              <w:rFonts w:cs="Times New Roman"/>
              <w:noProof/>
              <w:szCs w:val="24"/>
            </w:rPr>
            <w:fldChar w:fldCharType="end"/>
          </w:r>
          <w:r w:rsidR="00531838">
            <w:rPr>
              <w:rFonts w:cs="Times New Roman"/>
              <w:noProof/>
              <w:szCs w:val="24"/>
            </w:rPr>
            <w:t xml:space="preserve"> </w:t>
          </w:r>
        </w:p>
      </w:sdtContent>
    </w:sdt>
    <w:p w14:paraId="384806C6" w14:textId="00890D12" w:rsidR="00C36C43" w:rsidRDefault="00C36C43">
      <w:pPr>
        <w:widowControl w:val="0"/>
        <w:spacing w:after="200" w:line="276" w:lineRule="auto"/>
      </w:pPr>
      <w:r>
        <w:br w:type="page"/>
      </w:r>
    </w:p>
    <w:p w14:paraId="61D1F597" w14:textId="41281311" w:rsidR="00D30DFD" w:rsidRPr="002E3028" w:rsidRDefault="00367B3D" w:rsidP="00EA3F94">
      <w:pPr>
        <w:pStyle w:val="Heading1"/>
        <w:jc w:val="center"/>
      </w:pPr>
      <w:bookmarkStart w:id="2" w:name="_Toc441069279"/>
      <w:bookmarkStart w:id="3" w:name="_Toc486579593"/>
      <w:r w:rsidRPr="002E3028">
        <w:lastRenderedPageBreak/>
        <w:t>Policy Statement</w:t>
      </w:r>
      <w:bookmarkEnd w:id="1"/>
      <w:bookmarkEnd w:id="2"/>
      <w:bookmarkEnd w:id="3"/>
    </w:p>
    <w:p w14:paraId="342BF7BB" w14:textId="4979125A" w:rsidR="003B09DF" w:rsidRPr="00AD3DDE" w:rsidRDefault="003B09DF" w:rsidP="003B09DF">
      <w:pPr>
        <w:widowControl w:val="0"/>
        <w:spacing w:after="0"/>
        <w:jc w:val="center"/>
        <w:rPr>
          <w:rFonts w:ascii="Cambria" w:eastAsia="Cambria" w:hAnsi="Cambria" w:cs="Times New Roman"/>
          <w:b/>
          <w:color w:val="005A9E"/>
          <w:sz w:val="32"/>
          <w:szCs w:val="32"/>
        </w:rPr>
      </w:pPr>
      <w:r w:rsidRPr="00277364">
        <w:rPr>
          <w:rFonts w:asciiTheme="minorHAnsi" w:eastAsia="Times New Roman" w:hAnsiTheme="minorHAnsi"/>
          <w:noProof/>
          <w:color w:val="0000FF"/>
          <w:sz w:val="36"/>
          <w:szCs w:val="36"/>
        </w:rPr>
        <w:drawing>
          <wp:inline distT="0" distB="0" distL="0" distR="0" wp14:anchorId="6576A7E4" wp14:editId="5F453D1E">
            <wp:extent cx="813726" cy="81915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 Logo-T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726" cy="819150"/>
                    </a:xfrm>
                    <a:prstGeom prst="rect">
                      <a:avLst/>
                    </a:prstGeom>
                  </pic:spPr>
                </pic:pic>
              </a:graphicData>
            </a:graphic>
          </wp:inline>
        </w:drawing>
      </w:r>
    </w:p>
    <w:p w14:paraId="3561BE05" w14:textId="1350FF54" w:rsidR="003B09DF" w:rsidRDefault="003B09DF" w:rsidP="003B09DF">
      <w:pPr>
        <w:widowControl w:val="0"/>
        <w:spacing w:after="0"/>
        <w:rPr>
          <w:rFonts w:eastAsia="Cambria" w:cs="Times New Roman"/>
          <w:sz w:val="22"/>
        </w:rPr>
      </w:pPr>
    </w:p>
    <w:p w14:paraId="3D264157" w14:textId="132CF509" w:rsidR="003B09DF" w:rsidRDefault="003B09DF" w:rsidP="003B09DF">
      <w:pPr>
        <w:widowControl w:val="0"/>
        <w:spacing w:after="0"/>
        <w:rPr>
          <w:rFonts w:eastAsia="Cambria" w:cs="Times New Roman"/>
          <w:sz w:val="22"/>
        </w:rPr>
      </w:pPr>
    </w:p>
    <w:p w14:paraId="470E4285" w14:textId="586CB1CB" w:rsidR="003B09DF" w:rsidRPr="00AD3DDE" w:rsidRDefault="003B09DF" w:rsidP="003B09DF">
      <w:pPr>
        <w:widowControl w:val="0"/>
        <w:spacing w:after="0"/>
        <w:rPr>
          <w:rFonts w:eastAsia="Cambria" w:cs="Times New Roman"/>
          <w:sz w:val="22"/>
        </w:rPr>
      </w:pPr>
    </w:p>
    <w:p w14:paraId="01C3A6ED" w14:textId="073459B5" w:rsidR="003B09DF" w:rsidRPr="009433E3" w:rsidRDefault="003B09DF" w:rsidP="003B09DF">
      <w:pPr>
        <w:autoSpaceDE w:val="0"/>
        <w:autoSpaceDN w:val="0"/>
        <w:adjustRightInd w:val="0"/>
        <w:spacing w:after="0"/>
        <w:rPr>
          <w:rFonts w:eastAsia="Times New Roman" w:cs="Times New Roman"/>
          <w:color w:val="000000"/>
          <w:szCs w:val="24"/>
        </w:rPr>
      </w:pPr>
      <w:r w:rsidRPr="009433E3">
        <w:rPr>
          <w:rFonts w:eastAsia="Times New Roman" w:cs="Times New Roman"/>
          <w:color w:val="000000"/>
          <w:szCs w:val="24"/>
        </w:rPr>
        <w:t>The Social Security Administration (SSA) touches the lives of virtually every person in America.  We run one of the Nation’s largest entitlement programs</w:t>
      </w:r>
      <w:r w:rsidR="00B303A9">
        <w:rPr>
          <w:rFonts w:eastAsia="Times New Roman" w:cs="Times New Roman"/>
          <w:color w:val="000000"/>
          <w:szCs w:val="24"/>
        </w:rPr>
        <w:t>, as well as</w:t>
      </w:r>
      <w:r w:rsidRPr="009433E3">
        <w:rPr>
          <w:rFonts w:eastAsia="Times New Roman" w:cs="Times New Roman"/>
          <w:color w:val="000000"/>
          <w:szCs w:val="24"/>
        </w:rPr>
        <w:t xml:space="preserve"> the Supplemental Security Income program</w:t>
      </w:r>
      <w:r w:rsidR="00B303A9">
        <w:rPr>
          <w:rFonts w:eastAsia="Times New Roman" w:cs="Times New Roman"/>
          <w:color w:val="000000"/>
          <w:szCs w:val="24"/>
        </w:rPr>
        <w:t xml:space="preserve"> that</w:t>
      </w:r>
      <w:r w:rsidRPr="009433E3">
        <w:rPr>
          <w:rFonts w:eastAsia="Times New Roman" w:cs="Times New Roman"/>
          <w:color w:val="000000"/>
          <w:szCs w:val="24"/>
        </w:rPr>
        <w:t xml:space="preserve"> provid</w:t>
      </w:r>
      <w:r w:rsidR="00B303A9">
        <w:rPr>
          <w:rFonts w:eastAsia="Times New Roman" w:cs="Times New Roman"/>
          <w:color w:val="000000"/>
          <w:szCs w:val="24"/>
        </w:rPr>
        <w:t>es</w:t>
      </w:r>
      <w:r w:rsidRPr="009433E3">
        <w:rPr>
          <w:rFonts w:eastAsia="Times New Roman" w:cs="Times New Roman"/>
          <w:color w:val="000000"/>
          <w:szCs w:val="24"/>
        </w:rPr>
        <w:t xml:space="preserve"> financial support for aged, blind, and disabled adults and children with limited resources.  While fulfilling our mission to provide economic security to many individuals, we will continue our history of promoting a clean energy economy, environmental leadership, and sustainability.  We will work cooperati</w:t>
      </w:r>
      <w:r w:rsidR="00295180">
        <w:rPr>
          <w:rFonts w:eastAsia="Times New Roman" w:cs="Times New Roman"/>
          <w:color w:val="000000"/>
          <w:szCs w:val="24"/>
        </w:rPr>
        <w:t>vely with other Federal, State,</w:t>
      </w:r>
      <w:r w:rsidRPr="009433E3">
        <w:rPr>
          <w:rFonts w:eastAsia="Times New Roman" w:cs="Times New Roman"/>
          <w:color w:val="000000"/>
          <w:szCs w:val="24"/>
        </w:rPr>
        <w:t xml:space="preserve"> and local governments to promote sound environmental management practices</w:t>
      </w:r>
      <w:r w:rsidR="00B303A9">
        <w:rPr>
          <w:rFonts w:eastAsia="Times New Roman" w:cs="Times New Roman"/>
          <w:color w:val="000000"/>
          <w:szCs w:val="24"/>
        </w:rPr>
        <w:t>,</w:t>
      </w:r>
      <w:r w:rsidRPr="009433E3">
        <w:rPr>
          <w:rFonts w:eastAsia="Times New Roman" w:cs="Times New Roman"/>
          <w:color w:val="000000"/>
          <w:szCs w:val="24"/>
        </w:rPr>
        <w:t xml:space="preserve"> while providing a safe and healthy work environment for our employees. </w:t>
      </w:r>
    </w:p>
    <w:p w14:paraId="49E79528" w14:textId="62090A99" w:rsidR="003B09DF" w:rsidRPr="009433E3" w:rsidRDefault="003B09DF" w:rsidP="003B09DF">
      <w:pPr>
        <w:autoSpaceDE w:val="0"/>
        <w:autoSpaceDN w:val="0"/>
        <w:adjustRightInd w:val="0"/>
        <w:spacing w:after="0"/>
        <w:rPr>
          <w:rFonts w:eastAsia="Times New Roman" w:cs="Times New Roman"/>
          <w:color w:val="000000"/>
          <w:szCs w:val="24"/>
        </w:rPr>
      </w:pPr>
    </w:p>
    <w:p w14:paraId="54520F2D" w14:textId="5B6DBA63" w:rsidR="003B09DF" w:rsidRPr="009433E3" w:rsidRDefault="003B09DF" w:rsidP="003B09DF">
      <w:pPr>
        <w:autoSpaceDE w:val="0"/>
        <w:autoSpaceDN w:val="0"/>
        <w:adjustRightInd w:val="0"/>
        <w:spacing w:after="0"/>
        <w:rPr>
          <w:rFonts w:eastAsia="Times New Roman" w:cs="Times New Roman"/>
          <w:color w:val="000000"/>
          <w:szCs w:val="24"/>
        </w:rPr>
      </w:pPr>
      <w:r w:rsidRPr="009433E3">
        <w:rPr>
          <w:rFonts w:eastAsia="Times New Roman" w:cs="Times New Roman"/>
          <w:color w:val="000000"/>
          <w:szCs w:val="24"/>
        </w:rPr>
        <w:t xml:space="preserve">We are pleased to publish this Strategic Sustainability Performance Plan, which provides our </w:t>
      </w:r>
      <w:r w:rsidR="00B303A9">
        <w:rPr>
          <w:rFonts w:eastAsia="Times New Roman" w:cs="Times New Roman"/>
          <w:color w:val="000000"/>
          <w:szCs w:val="24"/>
        </w:rPr>
        <w:t>a</w:t>
      </w:r>
      <w:r w:rsidRPr="009433E3">
        <w:rPr>
          <w:rFonts w:eastAsia="Times New Roman" w:cs="Times New Roman"/>
          <w:color w:val="000000"/>
          <w:szCs w:val="24"/>
        </w:rPr>
        <w:t>gency with a structured, systematic approach for managing environmental and regulatory responsibilities to continuously improve overall environmental stewardship.</w:t>
      </w:r>
    </w:p>
    <w:p w14:paraId="6B1D148D" w14:textId="77777777" w:rsidR="003B09DF" w:rsidRPr="009433E3" w:rsidRDefault="003B09DF" w:rsidP="003B09DF">
      <w:pPr>
        <w:autoSpaceDE w:val="0"/>
        <w:autoSpaceDN w:val="0"/>
        <w:adjustRightInd w:val="0"/>
        <w:spacing w:after="0"/>
        <w:rPr>
          <w:rFonts w:eastAsia="Times New Roman" w:cs="Times New Roman"/>
          <w:color w:val="000000"/>
          <w:szCs w:val="24"/>
        </w:rPr>
      </w:pPr>
    </w:p>
    <w:p w14:paraId="55AA51F1" w14:textId="3898FA7B" w:rsidR="003B09DF" w:rsidRPr="009433E3" w:rsidRDefault="003B09DF" w:rsidP="003B09DF">
      <w:pPr>
        <w:autoSpaceDE w:val="0"/>
        <w:autoSpaceDN w:val="0"/>
        <w:adjustRightInd w:val="0"/>
        <w:spacing w:after="0"/>
        <w:rPr>
          <w:rFonts w:eastAsia="Times New Roman" w:cs="Times New Roman"/>
          <w:color w:val="000000"/>
          <w:szCs w:val="24"/>
        </w:rPr>
      </w:pPr>
      <w:r w:rsidRPr="009433E3">
        <w:rPr>
          <w:rFonts w:eastAsia="Times New Roman" w:cs="Times New Roman"/>
          <w:color w:val="000000"/>
          <w:szCs w:val="24"/>
        </w:rPr>
        <w:t xml:space="preserve">To promote environmental stewardship, our officials will: </w:t>
      </w:r>
    </w:p>
    <w:p w14:paraId="021679F9" w14:textId="20E7E5A3" w:rsidR="003B09DF" w:rsidRPr="009433E3" w:rsidRDefault="003B09DF" w:rsidP="003B09DF">
      <w:pPr>
        <w:numPr>
          <w:ilvl w:val="0"/>
          <w:numId w:val="15"/>
        </w:numPr>
        <w:autoSpaceDE w:val="0"/>
        <w:autoSpaceDN w:val="0"/>
        <w:adjustRightInd w:val="0"/>
        <w:spacing w:before="100" w:after="0"/>
        <w:rPr>
          <w:rFonts w:eastAsia="Times New Roman" w:cs="Times New Roman"/>
          <w:color w:val="000000"/>
          <w:szCs w:val="24"/>
        </w:rPr>
      </w:pPr>
      <w:r w:rsidRPr="009433E3">
        <w:rPr>
          <w:rFonts w:eastAsia="Times New Roman" w:cs="Times New Roman"/>
          <w:color w:val="000000"/>
          <w:szCs w:val="24"/>
        </w:rPr>
        <w:t xml:space="preserve">Comply with all environmental and energy-related statutes, Executive Orders, and any applicable Federal, State, and local regulations. </w:t>
      </w:r>
    </w:p>
    <w:p w14:paraId="3351FCC1" w14:textId="656FAB8B" w:rsidR="003B09DF" w:rsidRPr="009433E3" w:rsidRDefault="003B09DF" w:rsidP="003B09DF">
      <w:pPr>
        <w:numPr>
          <w:ilvl w:val="0"/>
          <w:numId w:val="15"/>
        </w:numPr>
        <w:autoSpaceDE w:val="0"/>
        <w:autoSpaceDN w:val="0"/>
        <w:adjustRightInd w:val="0"/>
        <w:spacing w:before="100" w:after="0"/>
        <w:rPr>
          <w:rFonts w:eastAsia="Times New Roman" w:cs="Times New Roman"/>
          <w:color w:val="000000"/>
          <w:szCs w:val="24"/>
        </w:rPr>
      </w:pPr>
      <w:r w:rsidRPr="009433E3">
        <w:rPr>
          <w:rFonts w:eastAsia="Times New Roman" w:cs="Times New Roman"/>
          <w:color w:val="000000"/>
          <w:szCs w:val="24"/>
        </w:rPr>
        <w:t xml:space="preserve">Consider environmental aspects when making planning, purchasing, operating, and budgetary decisions.  </w:t>
      </w:r>
    </w:p>
    <w:p w14:paraId="6B5A53E7" w14:textId="08041EFC" w:rsidR="003B09DF" w:rsidRPr="009433E3" w:rsidRDefault="003B09DF" w:rsidP="003B09DF">
      <w:pPr>
        <w:numPr>
          <w:ilvl w:val="0"/>
          <w:numId w:val="15"/>
        </w:numPr>
        <w:autoSpaceDE w:val="0"/>
        <w:autoSpaceDN w:val="0"/>
        <w:adjustRightInd w:val="0"/>
        <w:spacing w:before="100" w:after="0"/>
        <w:rPr>
          <w:rFonts w:eastAsia="Times New Roman" w:cs="Times New Roman"/>
          <w:color w:val="000000"/>
          <w:szCs w:val="24"/>
        </w:rPr>
      </w:pPr>
      <w:r w:rsidRPr="009433E3">
        <w:rPr>
          <w:rFonts w:eastAsia="Times New Roman" w:cs="Times New Roman"/>
          <w:color w:val="000000"/>
          <w:szCs w:val="24"/>
        </w:rPr>
        <w:t xml:space="preserve">Continue our employee awareness campaign to educate and encourage employees to reduce energy consumption and water usage, reduce the amount of waste produced, and promote re-use and recycling whenever possible. </w:t>
      </w:r>
    </w:p>
    <w:p w14:paraId="0351A2F5" w14:textId="5F10A3CB" w:rsidR="003B09DF" w:rsidRPr="009433E3" w:rsidRDefault="003B09DF" w:rsidP="003B09DF">
      <w:pPr>
        <w:numPr>
          <w:ilvl w:val="0"/>
          <w:numId w:val="15"/>
        </w:numPr>
        <w:autoSpaceDE w:val="0"/>
        <w:autoSpaceDN w:val="0"/>
        <w:adjustRightInd w:val="0"/>
        <w:spacing w:before="100" w:after="0"/>
        <w:rPr>
          <w:rFonts w:eastAsia="Times New Roman" w:cs="Times New Roman"/>
          <w:color w:val="000000"/>
          <w:szCs w:val="24"/>
        </w:rPr>
      </w:pPr>
      <w:r w:rsidRPr="009433E3">
        <w:rPr>
          <w:rFonts w:eastAsia="Times New Roman" w:cs="Times New Roman"/>
          <w:color w:val="000000"/>
          <w:szCs w:val="24"/>
        </w:rPr>
        <w:t>Continue improving environmental stewardship by setting environmental goals, measuring progress, taking corrective action</w:t>
      </w:r>
      <w:r w:rsidR="00B303A9">
        <w:rPr>
          <w:rFonts w:eastAsia="Times New Roman" w:cs="Times New Roman"/>
          <w:color w:val="000000"/>
          <w:szCs w:val="24"/>
        </w:rPr>
        <w:t>,</w:t>
      </w:r>
      <w:r w:rsidRPr="009433E3">
        <w:rPr>
          <w:rFonts w:eastAsia="Times New Roman" w:cs="Times New Roman"/>
          <w:color w:val="000000"/>
          <w:szCs w:val="24"/>
        </w:rPr>
        <w:t xml:space="preserve"> when necessary, and communicating the results. </w:t>
      </w:r>
    </w:p>
    <w:p w14:paraId="6DE542FB" w14:textId="7D901C17" w:rsidR="003B09DF" w:rsidRPr="009433E3" w:rsidRDefault="003B09DF" w:rsidP="003B09DF">
      <w:pPr>
        <w:numPr>
          <w:ilvl w:val="0"/>
          <w:numId w:val="15"/>
        </w:numPr>
        <w:autoSpaceDE w:val="0"/>
        <w:autoSpaceDN w:val="0"/>
        <w:adjustRightInd w:val="0"/>
        <w:spacing w:before="100" w:after="0"/>
        <w:rPr>
          <w:rFonts w:eastAsia="Times New Roman" w:cs="Times New Roman"/>
          <w:color w:val="000000"/>
          <w:szCs w:val="24"/>
        </w:rPr>
      </w:pPr>
      <w:r w:rsidRPr="009433E3">
        <w:rPr>
          <w:rFonts w:eastAsia="Times New Roman" w:cs="Times New Roman"/>
          <w:color w:val="000000"/>
          <w:szCs w:val="24"/>
        </w:rPr>
        <w:t xml:space="preserve">Incorporate climate change and adaptation considerations in our </w:t>
      </w:r>
      <w:r w:rsidR="00B303A9">
        <w:rPr>
          <w:rFonts w:eastAsia="Times New Roman" w:cs="Times New Roman"/>
          <w:color w:val="000000"/>
          <w:szCs w:val="24"/>
        </w:rPr>
        <w:t>a</w:t>
      </w:r>
      <w:r w:rsidRPr="009433E3">
        <w:rPr>
          <w:rFonts w:eastAsia="Times New Roman" w:cs="Times New Roman"/>
          <w:color w:val="000000"/>
          <w:szCs w:val="24"/>
        </w:rPr>
        <w:t>gency operations.</w:t>
      </w:r>
    </w:p>
    <w:p w14:paraId="0F4776F3" w14:textId="4A1F64E0" w:rsidR="003B09DF" w:rsidRPr="009433E3" w:rsidRDefault="003B09DF" w:rsidP="003B09DF">
      <w:pPr>
        <w:numPr>
          <w:ilvl w:val="0"/>
          <w:numId w:val="15"/>
        </w:numPr>
        <w:autoSpaceDE w:val="0"/>
        <w:autoSpaceDN w:val="0"/>
        <w:adjustRightInd w:val="0"/>
        <w:spacing w:before="100" w:after="0"/>
        <w:rPr>
          <w:rFonts w:eastAsia="Times New Roman" w:cs="Times New Roman"/>
          <w:color w:val="000000"/>
          <w:szCs w:val="24"/>
        </w:rPr>
      </w:pPr>
      <w:r w:rsidRPr="009433E3">
        <w:rPr>
          <w:rFonts w:eastAsia="Times New Roman" w:cs="Times New Roman"/>
          <w:color w:val="000000"/>
          <w:szCs w:val="24"/>
        </w:rPr>
        <w:t xml:space="preserve">Communicate and reinforce this policy throughout the </w:t>
      </w:r>
      <w:r w:rsidR="00B303A9">
        <w:rPr>
          <w:rFonts w:eastAsia="Times New Roman" w:cs="Times New Roman"/>
          <w:color w:val="000000"/>
          <w:szCs w:val="24"/>
        </w:rPr>
        <w:t>a</w:t>
      </w:r>
      <w:r w:rsidRPr="009433E3">
        <w:rPr>
          <w:rFonts w:eastAsia="Times New Roman" w:cs="Times New Roman"/>
          <w:color w:val="000000"/>
          <w:szCs w:val="24"/>
        </w:rPr>
        <w:t xml:space="preserve">gency. </w:t>
      </w:r>
    </w:p>
    <w:p w14:paraId="43AAF1B6" w14:textId="77777777" w:rsidR="003B09DF" w:rsidRPr="009433E3" w:rsidRDefault="003B09DF" w:rsidP="003B09DF">
      <w:pPr>
        <w:autoSpaceDE w:val="0"/>
        <w:autoSpaceDN w:val="0"/>
        <w:adjustRightInd w:val="0"/>
        <w:spacing w:after="0"/>
        <w:rPr>
          <w:rFonts w:eastAsia="Times New Roman" w:cs="Times New Roman"/>
          <w:color w:val="000000"/>
          <w:szCs w:val="24"/>
        </w:rPr>
      </w:pPr>
    </w:p>
    <w:p w14:paraId="1007BE1E" w14:textId="0C97CBB5" w:rsidR="003B09DF" w:rsidRDefault="003B09DF" w:rsidP="003B09DF">
      <w:pPr>
        <w:autoSpaceDE w:val="0"/>
        <w:autoSpaceDN w:val="0"/>
        <w:adjustRightInd w:val="0"/>
        <w:spacing w:after="0"/>
        <w:rPr>
          <w:rFonts w:eastAsia="Times New Roman" w:cs="Times New Roman"/>
          <w:color w:val="000000"/>
          <w:szCs w:val="24"/>
        </w:rPr>
      </w:pPr>
      <w:r w:rsidRPr="009433E3">
        <w:rPr>
          <w:rFonts w:eastAsia="Times New Roman" w:cs="Times New Roman"/>
          <w:color w:val="000000"/>
          <w:szCs w:val="24"/>
        </w:rPr>
        <w:t xml:space="preserve">We are pleased to promote environmental leadership and sustainability at SSA. </w:t>
      </w:r>
    </w:p>
    <w:p w14:paraId="69DED907" w14:textId="77777777" w:rsidR="00B81758" w:rsidRPr="009433E3" w:rsidRDefault="00B81758" w:rsidP="003B09DF">
      <w:pPr>
        <w:autoSpaceDE w:val="0"/>
        <w:autoSpaceDN w:val="0"/>
        <w:adjustRightInd w:val="0"/>
        <w:spacing w:after="0"/>
        <w:rPr>
          <w:rFonts w:eastAsia="Times New Roman" w:cs="Times New Roman"/>
          <w:color w:val="000000"/>
          <w:szCs w:val="24"/>
        </w:rPr>
      </w:pPr>
    </w:p>
    <w:p w14:paraId="14154710" w14:textId="0EACF27F" w:rsidR="003B09DF" w:rsidRDefault="00B81758" w:rsidP="003B09DF">
      <w:pPr>
        <w:autoSpaceDE w:val="0"/>
        <w:autoSpaceDN w:val="0"/>
        <w:adjustRightInd w:val="0"/>
        <w:spacing w:after="0"/>
        <w:rPr>
          <w:rFonts w:eastAsia="Times New Roman" w:cs="Times New Roman"/>
          <w:color w:val="000000"/>
          <w:szCs w:val="24"/>
        </w:rPr>
      </w:pPr>
      <w:r w:rsidRPr="00B81758">
        <w:rPr>
          <w:rFonts w:eastAsia="Times New Roman" w:cs="Times New Roman"/>
          <w:noProof/>
          <w:color w:val="000000"/>
          <w:szCs w:val="24"/>
        </w:rPr>
        <w:drawing>
          <wp:anchor distT="0" distB="0" distL="114300" distR="114300" simplePos="0" relativeHeight="251664384" behindDoc="1" locked="0" layoutInCell="1" allowOverlap="1" wp14:anchorId="29C97D5A" wp14:editId="573D6880">
            <wp:simplePos x="0" y="0"/>
            <wp:positionH relativeFrom="column">
              <wp:posOffset>-64135</wp:posOffset>
            </wp:positionH>
            <wp:positionV relativeFrom="paragraph">
              <wp:posOffset>55880</wp:posOffset>
            </wp:positionV>
            <wp:extent cx="1871345" cy="782320"/>
            <wp:effectExtent l="0" t="0" r="0" b="0"/>
            <wp:wrapTight wrapText="bothSides">
              <wp:wrapPolygon edited="0">
                <wp:start x="0" y="0"/>
                <wp:lineTo x="0" y="21039"/>
                <wp:lineTo x="21329" y="21039"/>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34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BE656" w14:textId="7EDBE3F1" w:rsidR="003B09DF" w:rsidRDefault="003B09DF" w:rsidP="003B09DF">
      <w:pPr>
        <w:autoSpaceDE w:val="0"/>
        <w:autoSpaceDN w:val="0"/>
        <w:adjustRightInd w:val="0"/>
        <w:spacing w:after="0"/>
        <w:ind w:firstLine="720"/>
        <w:rPr>
          <w:rFonts w:eastAsia="Times New Roman" w:cs="Times New Roman"/>
          <w:color w:val="000000"/>
          <w:szCs w:val="24"/>
        </w:rPr>
      </w:pPr>
    </w:p>
    <w:p w14:paraId="6BC065FC" w14:textId="5D18777E" w:rsidR="00B81758" w:rsidRDefault="00B81758" w:rsidP="003B09DF">
      <w:pPr>
        <w:autoSpaceDE w:val="0"/>
        <w:autoSpaceDN w:val="0"/>
        <w:adjustRightInd w:val="0"/>
        <w:spacing w:after="0"/>
        <w:ind w:firstLine="720"/>
        <w:rPr>
          <w:rFonts w:eastAsia="Times New Roman" w:cs="Times New Roman"/>
          <w:color w:val="000000"/>
          <w:szCs w:val="24"/>
        </w:rPr>
      </w:pPr>
      <w:r>
        <w:rPr>
          <w:rFonts w:eastAsia="Times New Roman" w:cs="Times New Roman"/>
          <w:noProof/>
          <w:color w:val="000000"/>
          <w:szCs w:val="24"/>
        </w:rPr>
        <mc:AlternateContent>
          <mc:Choice Requires="wpc">
            <w:drawing>
              <wp:anchor distT="0" distB="0" distL="114300" distR="114300" simplePos="0" relativeHeight="251663360" behindDoc="0" locked="0" layoutInCell="1" allowOverlap="1" wp14:anchorId="63CF7D12" wp14:editId="7AFF204B">
                <wp:simplePos x="0" y="0"/>
                <wp:positionH relativeFrom="column">
                  <wp:posOffset>-685800</wp:posOffset>
                </wp:positionH>
                <wp:positionV relativeFrom="paragraph">
                  <wp:posOffset>-7901940</wp:posOffset>
                </wp:positionV>
                <wp:extent cx="1257300" cy="3552825"/>
                <wp:effectExtent l="0" t="0" r="0" b="0"/>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61078107" id="Canvas 17" o:spid="_x0000_s1026" editas="canvas" style="position:absolute;margin-left:-54pt;margin-top:-622.2pt;width:99pt;height:279.75pt;z-index:251663360" coordsize="12573,3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35528;visibility:visible;mso-wrap-style:square">
                  <v:fill o:detectmouseclick="t"/>
                  <v:path o:connecttype="none"/>
                </v:shape>
              </v:group>
            </w:pict>
          </mc:Fallback>
        </mc:AlternateContent>
      </w:r>
    </w:p>
    <w:p w14:paraId="4F155F3F" w14:textId="469197F3" w:rsidR="00B81758" w:rsidRDefault="00B81758" w:rsidP="003B09DF">
      <w:pPr>
        <w:autoSpaceDE w:val="0"/>
        <w:autoSpaceDN w:val="0"/>
        <w:adjustRightInd w:val="0"/>
        <w:spacing w:after="0"/>
        <w:ind w:firstLine="720"/>
        <w:rPr>
          <w:rFonts w:eastAsia="Times New Roman" w:cs="Times New Roman"/>
          <w:color w:val="000000"/>
          <w:szCs w:val="24"/>
        </w:rPr>
      </w:pPr>
    </w:p>
    <w:p w14:paraId="4A0B6736" w14:textId="6C719D65" w:rsidR="003B09DF" w:rsidRDefault="003B09DF" w:rsidP="003B09DF">
      <w:pPr>
        <w:autoSpaceDE w:val="0"/>
        <w:autoSpaceDN w:val="0"/>
        <w:adjustRightInd w:val="0"/>
        <w:spacing w:after="0"/>
        <w:ind w:firstLine="720"/>
        <w:rPr>
          <w:rFonts w:eastAsia="Times New Roman" w:cs="Times New Roman"/>
          <w:color w:val="000000"/>
          <w:szCs w:val="24"/>
        </w:rPr>
      </w:pPr>
    </w:p>
    <w:p w14:paraId="5E7AD965" w14:textId="33E0ADEC" w:rsidR="003B09DF" w:rsidRPr="009433E3" w:rsidRDefault="003B09DF" w:rsidP="0001243E">
      <w:pPr>
        <w:autoSpaceDE w:val="0"/>
        <w:autoSpaceDN w:val="0"/>
        <w:adjustRightInd w:val="0"/>
        <w:spacing w:after="0"/>
        <w:rPr>
          <w:rFonts w:asciiTheme="minorHAnsi" w:eastAsia="Times New Roman" w:hAnsiTheme="minorHAnsi" w:cs="Times New Roman"/>
          <w:color w:val="000000"/>
          <w:szCs w:val="24"/>
        </w:rPr>
      </w:pPr>
      <w:r w:rsidRPr="009433E3">
        <w:rPr>
          <w:rFonts w:eastAsia="Times New Roman" w:cs="Times New Roman"/>
          <w:color w:val="000000"/>
          <w:szCs w:val="24"/>
        </w:rPr>
        <w:t>Chris Molander</w:t>
      </w:r>
    </w:p>
    <w:p w14:paraId="1E869310" w14:textId="02A5D69B" w:rsidR="00C36C43" w:rsidRPr="00B81758" w:rsidRDefault="003B09DF" w:rsidP="00B81758">
      <w:pPr>
        <w:rPr>
          <w:i/>
        </w:rPr>
      </w:pPr>
      <w:r w:rsidRPr="009433E3">
        <w:rPr>
          <w:rFonts w:eastAsia="Times New Roman" w:cs="Times New Roman"/>
          <w:szCs w:val="24"/>
        </w:rPr>
        <w:t>Chief Sustainability Officer</w:t>
      </w:r>
      <w:bookmarkStart w:id="4" w:name="_Toc441046832"/>
    </w:p>
    <w:p w14:paraId="6AF4CFE5" w14:textId="77777777" w:rsidR="00B84183" w:rsidRPr="00295180" w:rsidRDefault="00B84183" w:rsidP="00B84183">
      <w:pPr>
        <w:pStyle w:val="Heading1"/>
        <w:jc w:val="center"/>
      </w:pPr>
      <w:bookmarkStart w:id="5" w:name="_Toc418861750"/>
      <w:bookmarkStart w:id="6" w:name="_Toc451165734"/>
      <w:bookmarkStart w:id="7" w:name="_Toc486579594"/>
      <w:bookmarkStart w:id="8" w:name="_Toc441046833"/>
      <w:bookmarkEnd w:id="4"/>
      <w:r w:rsidRPr="00295180">
        <w:t>Executive Summary</w:t>
      </w:r>
      <w:bookmarkEnd w:id="5"/>
      <w:bookmarkEnd w:id="6"/>
      <w:bookmarkEnd w:id="7"/>
    </w:p>
    <w:p w14:paraId="4CD8830B" w14:textId="77777777" w:rsidR="00B84183" w:rsidRPr="00AD3DDE" w:rsidRDefault="00B84183" w:rsidP="00B84183">
      <w:pPr>
        <w:widowControl w:val="0"/>
        <w:spacing w:after="0"/>
        <w:rPr>
          <w:rFonts w:ascii="Cambria" w:eastAsia="Cambria" w:hAnsi="Cambria" w:cs="Times New Roman"/>
          <w:b/>
          <w:sz w:val="28"/>
          <w:szCs w:val="28"/>
        </w:rPr>
      </w:pPr>
      <w:r w:rsidRPr="00AD3DDE">
        <w:rPr>
          <w:rFonts w:ascii="Cambria" w:eastAsia="Cambria" w:hAnsi="Cambria" w:cs="Times New Roman"/>
          <w:b/>
          <w:sz w:val="28"/>
          <w:szCs w:val="28"/>
        </w:rPr>
        <w:t>Vision</w:t>
      </w:r>
    </w:p>
    <w:p w14:paraId="29282AC5" w14:textId="2DD601ED" w:rsidR="00B84183" w:rsidRPr="0048647D" w:rsidRDefault="00B84183" w:rsidP="00B84183">
      <w:pPr>
        <w:widowControl w:val="0"/>
        <w:spacing w:after="0"/>
        <w:rPr>
          <w:rFonts w:eastAsia="Times New Roman" w:cs="Times New Roman"/>
          <w:sz w:val="23"/>
          <w:szCs w:val="23"/>
        </w:rPr>
      </w:pPr>
      <w:r w:rsidRPr="0048647D">
        <w:rPr>
          <w:rFonts w:eastAsia="Times New Roman" w:cs="Times New Roman"/>
          <w:sz w:val="23"/>
          <w:szCs w:val="23"/>
        </w:rPr>
        <w:t>With our mission to provide economic security to many individuals, sustainability is an integral part of our success.  It enables us to do our job</w:t>
      </w:r>
      <w:r w:rsidR="00FE6138">
        <w:rPr>
          <w:rFonts w:eastAsia="Times New Roman" w:cs="Times New Roman"/>
          <w:sz w:val="23"/>
          <w:szCs w:val="23"/>
        </w:rPr>
        <w:t>s</w:t>
      </w:r>
      <w:r w:rsidRPr="0048647D">
        <w:rPr>
          <w:rFonts w:eastAsia="Times New Roman" w:cs="Times New Roman"/>
          <w:sz w:val="23"/>
          <w:szCs w:val="23"/>
        </w:rPr>
        <w:t xml:space="preserve"> more cost-effectively and be responsible stewards of the health of our employees, the public we serve, and the environment in which we all live.  We have already made great strides integrating sustainability into the day-to-day implementation of our mission, but there is much more we can do.  We are committed to further improvement through a range of approaches</w:t>
      </w:r>
      <w:r w:rsidR="00FE6138">
        <w:rPr>
          <w:rFonts w:eastAsia="Times New Roman" w:cs="Times New Roman"/>
          <w:sz w:val="23"/>
          <w:szCs w:val="23"/>
        </w:rPr>
        <w:t>,</w:t>
      </w:r>
      <w:r w:rsidRPr="0048647D">
        <w:rPr>
          <w:rFonts w:eastAsia="Times New Roman" w:cs="Times New Roman"/>
          <w:sz w:val="23"/>
          <w:szCs w:val="23"/>
        </w:rPr>
        <w:t xml:space="preserve"> such as increasing the efficiency with which we use energy and water in our buildings, reducing solid waste disposal through recycling, and decreasing the combustion of petroleum-based fuels in our vehicles</w:t>
      </w:r>
      <w:r w:rsidR="00FE6138">
        <w:rPr>
          <w:rFonts w:eastAsia="Times New Roman" w:cs="Times New Roman"/>
          <w:sz w:val="23"/>
          <w:szCs w:val="23"/>
        </w:rPr>
        <w:t>,</w:t>
      </w:r>
      <w:r w:rsidRPr="0048647D">
        <w:rPr>
          <w:rFonts w:eastAsia="Times New Roman" w:cs="Times New Roman"/>
          <w:sz w:val="23"/>
          <w:szCs w:val="23"/>
        </w:rPr>
        <w:t xml:space="preserve"> while increasing the percentage of electric and hybrid vehicles in the agency’s fleet.  In addition, the choices we make in acquiring products and services play a critical role in promoting sustainability, and we are committed to </w:t>
      </w:r>
      <w:r w:rsidR="00FE6138">
        <w:rPr>
          <w:rFonts w:eastAsia="Times New Roman" w:cs="Times New Roman"/>
          <w:sz w:val="23"/>
          <w:szCs w:val="23"/>
        </w:rPr>
        <w:t xml:space="preserve">continuing our acquisition processes with </w:t>
      </w:r>
      <w:r w:rsidRPr="0048647D">
        <w:rPr>
          <w:rFonts w:eastAsia="Times New Roman" w:cs="Times New Roman"/>
          <w:sz w:val="23"/>
          <w:szCs w:val="23"/>
        </w:rPr>
        <w:t>sustainability</w:t>
      </w:r>
      <w:r w:rsidR="00FE6138">
        <w:rPr>
          <w:rFonts w:eastAsia="Times New Roman" w:cs="Times New Roman"/>
          <w:sz w:val="23"/>
          <w:szCs w:val="23"/>
        </w:rPr>
        <w:t xml:space="preserve"> as a priority</w:t>
      </w:r>
      <w:r w:rsidRPr="0048647D">
        <w:rPr>
          <w:rFonts w:eastAsia="Times New Roman" w:cs="Times New Roman"/>
          <w:sz w:val="23"/>
          <w:szCs w:val="23"/>
        </w:rPr>
        <w:t>.  Our stewardship for electronics goes beyond acquisition.  We will continue to ensure our computers and monitors use minimal energy and are disposed of in an environmentally</w:t>
      </w:r>
      <w:r w:rsidR="00FE6138">
        <w:rPr>
          <w:rFonts w:eastAsia="Times New Roman" w:cs="Times New Roman"/>
          <w:sz w:val="23"/>
          <w:szCs w:val="23"/>
        </w:rPr>
        <w:t>-</w:t>
      </w:r>
      <w:r w:rsidRPr="0048647D">
        <w:rPr>
          <w:rFonts w:eastAsia="Times New Roman" w:cs="Times New Roman"/>
          <w:sz w:val="23"/>
          <w:szCs w:val="23"/>
        </w:rPr>
        <w:t>sound manner.  Finally, sustainability goes hand-in-hand with building resilience to the impacts of climate change.  We will work to identify our vulnerabilities to climate change and address them proactively.</w:t>
      </w:r>
    </w:p>
    <w:p w14:paraId="04FD7F04" w14:textId="77777777" w:rsidR="00B84183" w:rsidRPr="0048647D" w:rsidRDefault="00B84183" w:rsidP="00B84183">
      <w:pPr>
        <w:widowControl w:val="0"/>
        <w:spacing w:after="0"/>
        <w:rPr>
          <w:rFonts w:eastAsia="Cambria" w:cs="Times New Roman"/>
          <w:sz w:val="23"/>
          <w:szCs w:val="23"/>
        </w:rPr>
      </w:pPr>
    </w:p>
    <w:p w14:paraId="0BFE7FD1" w14:textId="77777777" w:rsidR="00B84183" w:rsidRPr="00AD3DDE" w:rsidRDefault="00B84183" w:rsidP="00B84183">
      <w:pPr>
        <w:widowControl w:val="0"/>
        <w:spacing w:after="0"/>
        <w:rPr>
          <w:rFonts w:ascii="Cambria" w:eastAsia="Cambria" w:hAnsi="Cambria" w:cs="Times New Roman"/>
          <w:b/>
          <w:sz w:val="28"/>
          <w:szCs w:val="28"/>
        </w:rPr>
      </w:pPr>
      <w:r w:rsidRPr="00AD3DDE">
        <w:rPr>
          <w:rFonts w:ascii="Cambria" w:eastAsia="Cambria" w:hAnsi="Cambria" w:cs="Times New Roman"/>
          <w:b/>
          <w:sz w:val="28"/>
          <w:szCs w:val="28"/>
        </w:rPr>
        <w:t>Leadership</w:t>
      </w:r>
    </w:p>
    <w:p w14:paraId="3D7A33B7" w14:textId="0AE18445" w:rsidR="00B84183" w:rsidRPr="00AF161A" w:rsidRDefault="00B84183" w:rsidP="00B84183">
      <w:pPr>
        <w:widowControl w:val="0"/>
        <w:spacing w:after="0"/>
        <w:rPr>
          <w:color w:val="000000"/>
          <w:sz w:val="23"/>
          <w:szCs w:val="23"/>
        </w:rPr>
      </w:pPr>
      <w:r w:rsidRPr="0048647D">
        <w:rPr>
          <w:color w:val="000000"/>
          <w:sz w:val="23"/>
          <w:szCs w:val="23"/>
        </w:rPr>
        <w:t xml:space="preserve">The Associate Commissioner, Office of Facilities and </w:t>
      </w:r>
      <w:r w:rsidR="00FE6138">
        <w:rPr>
          <w:color w:val="000000"/>
          <w:sz w:val="23"/>
          <w:szCs w:val="23"/>
        </w:rPr>
        <w:t>Logistics</w:t>
      </w:r>
      <w:r w:rsidR="00FE6138" w:rsidRPr="0048647D">
        <w:rPr>
          <w:color w:val="000000"/>
          <w:sz w:val="23"/>
          <w:szCs w:val="23"/>
        </w:rPr>
        <w:t xml:space="preserve"> </w:t>
      </w:r>
      <w:r w:rsidRPr="0048647D">
        <w:rPr>
          <w:color w:val="000000"/>
          <w:sz w:val="23"/>
          <w:szCs w:val="23"/>
        </w:rPr>
        <w:t xml:space="preserve">Management is the Chief Sustainability Officer </w:t>
      </w:r>
      <w:r>
        <w:rPr>
          <w:color w:val="000000"/>
          <w:sz w:val="23"/>
          <w:szCs w:val="23"/>
        </w:rPr>
        <w:t xml:space="preserve">(CSO) </w:t>
      </w:r>
      <w:r w:rsidRPr="0048647D">
        <w:rPr>
          <w:color w:val="000000"/>
          <w:sz w:val="23"/>
          <w:szCs w:val="23"/>
        </w:rPr>
        <w:t xml:space="preserve">and the Climate Change Adaptation contact for the </w:t>
      </w:r>
      <w:r>
        <w:rPr>
          <w:color w:val="000000"/>
          <w:sz w:val="23"/>
          <w:szCs w:val="23"/>
        </w:rPr>
        <w:t>a</w:t>
      </w:r>
      <w:r w:rsidRPr="0048647D">
        <w:rPr>
          <w:color w:val="000000"/>
          <w:sz w:val="23"/>
          <w:szCs w:val="23"/>
        </w:rPr>
        <w:t>gency.  Th</w:t>
      </w:r>
      <w:r w:rsidR="005136F7">
        <w:rPr>
          <w:color w:val="000000"/>
          <w:sz w:val="23"/>
          <w:szCs w:val="23"/>
        </w:rPr>
        <w:t>e CSO</w:t>
      </w:r>
      <w:r>
        <w:rPr>
          <w:color w:val="000000"/>
          <w:sz w:val="23"/>
          <w:szCs w:val="23"/>
        </w:rPr>
        <w:t xml:space="preserve"> reports directly to the SSA </w:t>
      </w:r>
      <w:r w:rsidRPr="0048647D">
        <w:rPr>
          <w:color w:val="000000"/>
          <w:sz w:val="23"/>
          <w:szCs w:val="23"/>
        </w:rPr>
        <w:t xml:space="preserve">Commissioner.  </w:t>
      </w:r>
      <w:r>
        <w:rPr>
          <w:color w:val="000000"/>
          <w:sz w:val="23"/>
          <w:szCs w:val="23"/>
        </w:rPr>
        <w:t xml:space="preserve">The </w:t>
      </w:r>
      <w:r w:rsidRPr="0048647D">
        <w:rPr>
          <w:color w:val="000000"/>
          <w:sz w:val="23"/>
          <w:szCs w:val="23"/>
        </w:rPr>
        <w:t>performance plans for appropriate senior staff include specific measures related to sustainability.</w:t>
      </w:r>
    </w:p>
    <w:p w14:paraId="141ED591" w14:textId="77777777" w:rsidR="00B84183" w:rsidRPr="00F66C81" w:rsidRDefault="00B84183" w:rsidP="00B84183">
      <w:pPr>
        <w:widowControl w:val="0"/>
        <w:spacing w:after="0"/>
        <w:rPr>
          <w:rFonts w:eastAsia="Cambria" w:cs="Times New Roman"/>
          <w:sz w:val="22"/>
        </w:rPr>
      </w:pPr>
    </w:p>
    <w:p w14:paraId="7DF3C63B" w14:textId="77777777" w:rsidR="00B84183" w:rsidRPr="00AD3DDE" w:rsidRDefault="00B84183" w:rsidP="00B84183">
      <w:pPr>
        <w:widowControl w:val="0"/>
        <w:spacing w:after="0"/>
        <w:rPr>
          <w:rFonts w:ascii="Cambria" w:eastAsia="Cambria" w:hAnsi="Cambria" w:cs="Times New Roman"/>
          <w:b/>
          <w:sz w:val="28"/>
          <w:szCs w:val="28"/>
        </w:rPr>
      </w:pPr>
      <w:r w:rsidRPr="00AD3DDE">
        <w:rPr>
          <w:rFonts w:ascii="Cambria" w:eastAsia="Cambria" w:hAnsi="Cambria" w:cs="Times New Roman"/>
          <w:b/>
          <w:sz w:val="28"/>
          <w:szCs w:val="28"/>
        </w:rPr>
        <w:t xml:space="preserve">Performance Review  </w:t>
      </w:r>
    </w:p>
    <w:p w14:paraId="0C08CC3C"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Goal 1:  Greenhouse Gas Reduction</w:t>
      </w:r>
    </w:p>
    <w:p w14:paraId="488FC495" w14:textId="1390073A" w:rsidR="00B84183" w:rsidRDefault="00B84183" w:rsidP="00B84183">
      <w:pPr>
        <w:spacing w:after="0"/>
        <w:rPr>
          <w:sz w:val="23"/>
          <w:szCs w:val="23"/>
        </w:rPr>
      </w:pPr>
      <w:r w:rsidRPr="0048647D">
        <w:rPr>
          <w:sz w:val="23"/>
          <w:szCs w:val="23"/>
        </w:rPr>
        <w:t>Our Scopes 1 and 2 greenhouse gas (GHG) emissions in fis</w:t>
      </w:r>
      <w:r w:rsidR="00EE5F47">
        <w:rPr>
          <w:sz w:val="23"/>
          <w:szCs w:val="23"/>
        </w:rPr>
        <w:t>cal year (FY) 2016 were 50.6</w:t>
      </w:r>
      <w:r w:rsidRPr="0048647D">
        <w:rPr>
          <w:sz w:val="23"/>
          <w:szCs w:val="23"/>
        </w:rPr>
        <w:t xml:space="preserve"> percent lower than the FY 2008 baseline, as determined by our annual GHG inventory.  </w:t>
      </w:r>
      <w:r w:rsidR="00EE5F47">
        <w:rPr>
          <w:sz w:val="23"/>
          <w:szCs w:val="23"/>
        </w:rPr>
        <w:t>Scope 3 GHG emissions in FY 2016 were 25.6</w:t>
      </w:r>
      <w:r w:rsidRPr="0048647D">
        <w:rPr>
          <w:sz w:val="23"/>
          <w:szCs w:val="23"/>
        </w:rPr>
        <w:t xml:space="preserve"> percent lower than the base year.  </w:t>
      </w:r>
      <w:r>
        <w:rPr>
          <w:sz w:val="23"/>
          <w:szCs w:val="23"/>
        </w:rPr>
        <w:t>The vast majority of</w:t>
      </w:r>
      <w:r w:rsidRPr="0048647D">
        <w:rPr>
          <w:sz w:val="23"/>
          <w:szCs w:val="23"/>
        </w:rPr>
        <w:t xml:space="preserve"> our emissions </w:t>
      </w:r>
      <w:r>
        <w:rPr>
          <w:sz w:val="23"/>
          <w:szCs w:val="23"/>
        </w:rPr>
        <w:t xml:space="preserve">come from just </w:t>
      </w:r>
      <w:r w:rsidRPr="0048647D">
        <w:rPr>
          <w:sz w:val="23"/>
          <w:szCs w:val="23"/>
        </w:rPr>
        <w:t>two sources: employee commuting</w:t>
      </w:r>
      <w:r>
        <w:rPr>
          <w:sz w:val="23"/>
          <w:szCs w:val="23"/>
        </w:rPr>
        <w:t xml:space="preserve"> </w:t>
      </w:r>
      <w:r w:rsidRPr="0048647D">
        <w:rPr>
          <w:sz w:val="23"/>
          <w:szCs w:val="23"/>
        </w:rPr>
        <w:t>and purchased electricity.</w:t>
      </w:r>
      <w:r>
        <w:rPr>
          <w:sz w:val="23"/>
          <w:szCs w:val="23"/>
        </w:rPr>
        <w:t xml:space="preserve">  Due to commuting, </w:t>
      </w:r>
      <w:r w:rsidR="00EE5F47">
        <w:rPr>
          <w:sz w:val="23"/>
          <w:szCs w:val="23"/>
        </w:rPr>
        <w:t>Scope 3 emissions account for 69 percent</w:t>
      </w:r>
      <w:r>
        <w:rPr>
          <w:sz w:val="23"/>
          <w:szCs w:val="23"/>
        </w:rPr>
        <w:t xml:space="preserve"> of our total GHG inventory.</w:t>
      </w:r>
    </w:p>
    <w:p w14:paraId="4E75571A" w14:textId="77777777" w:rsidR="00B84183" w:rsidRPr="0048647D" w:rsidRDefault="00B84183" w:rsidP="00B84183">
      <w:pPr>
        <w:spacing w:after="0"/>
        <w:rPr>
          <w:sz w:val="23"/>
          <w:szCs w:val="23"/>
        </w:rPr>
      </w:pPr>
    </w:p>
    <w:p w14:paraId="069B6B86" w14:textId="5B5C78C6" w:rsidR="00B84183" w:rsidRDefault="00B84183" w:rsidP="00B84183">
      <w:pPr>
        <w:spacing w:after="0"/>
        <w:rPr>
          <w:sz w:val="23"/>
          <w:szCs w:val="23"/>
        </w:rPr>
      </w:pPr>
      <w:r w:rsidRPr="0048647D">
        <w:rPr>
          <w:sz w:val="23"/>
          <w:szCs w:val="23"/>
        </w:rPr>
        <w:t xml:space="preserve">We have made </w:t>
      </w:r>
      <w:r>
        <w:rPr>
          <w:sz w:val="23"/>
          <w:szCs w:val="23"/>
        </w:rPr>
        <w:t xml:space="preserve">notable </w:t>
      </w:r>
      <w:r w:rsidRPr="0048647D">
        <w:rPr>
          <w:sz w:val="23"/>
          <w:szCs w:val="23"/>
        </w:rPr>
        <w:t xml:space="preserve">progress </w:t>
      </w:r>
      <w:r>
        <w:rPr>
          <w:sz w:val="23"/>
          <w:szCs w:val="23"/>
        </w:rPr>
        <w:t>reducing the environmental impact of</w:t>
      </w:r>
      <w:r w:rsidRPr="0048647D">
        <w:rPr>
          <w:sz w:val="23"/>
          <w:szCs w:val="23"/>
        </w:rPr>
        <w:t xml:space="preserve"> </w:t>
      </w:r>
      <w:r>
        <w:rPr>
          <w:sz w:val="23"/>
          <w:szCs w:val="23"/>
        </w:rPr>
        <w:t>employee commuting.  After</w:t>
      </w:r>
      <w:r w:rsidRPr="0048647D">
        <w:rPr>
          <w:sz w:val="23"/>
          <w:szCs w:val="23"/>
        </w:rPr>
        <w:t xml:space="preserve"> reach</w:t>
      </w:r>
      <w:r>
        <w:rPr>
          <w:sz w:val="23"/>
          <w:szCs w:val="23"/>
        </w:rPr>
        <w:t>ing</w:t>
      </w:r>
      <w:r w:rsidRPr="0048647D">
        <w:rPr>
          <w:sz w:val="23"/>
          <w:szCs w:val="23"/>
        </w:rPr>
        <w:t xml:space="preserve"> agreement with our unions to expand our telework program</w:t>
      </w:r>
      <w:r>
        <w:rPr>
          <w:sz w:val="23"/>
          <w:szCs w:val="23"/>
        </w:rPr>
        <w:t>,</w:t>
      </w:r>
      <w:r w:rsidRPr="0048647D">
        <w:rPr>
          <w:sz w:val="23"/>
          <w:szCs w:val="23"/>
        </w:rPr>
        <w:t xml:space="preserve"> in December 2013 we </w:t>
      </w:r>
      <w:r>
        <w:rPr>
          <w:sz w:val="23"/>
          <w:szCs w:val="23"/>
        </w:rPr>
        <w:t>issued a new telework policy.  As a result, t</w:t>
      </w:r>
      <w:r w:rsidRPr="0048647D">
        <w:rPr>
          <w:sz w:val="23"/>
          <w:szCs w:val="23"/>
        </w:rPr>
        <w:t xml:space="preserve">he number of employees </w:t>
      </w:r>
      <w:r>
        <w:rPr>
          <w:sz w:val="23"/>
          <w:szCs w:val="23"/>
        </w:rPr>
        <w:t>who teleworked</w:t>
      </w:r>
      <w:r w:rsidRPr="0048647D">
        <w:rPr>
          <w:sz w:val="23"/>
          <w:szCs w:val="23"/>
        </w:rPr>
        <w:t xml:space="preserve"> regularly</w:t>
      </w:r>
      <w:r>
        <w:rPr>
          <w:sz w:val="23"/>
          <w:szCs w:val="23"/>
        </w:rPr>
        <w:t xml:space="preserve"> increased by 77 percent</w:t>
      </w:r>
      <w:r w:rsidRPr="0048647D">
        <w:rPr>
          <w:sz w:val="23"/>
          <w:szCs w:val="23"/>
        </w:rPr>
        <w:t xml:space="preserve"> from FY 2014 to FY 2015</w:t>
      </w:r>
      <w:r>
        <w:rPr>
          <w:sz w:val="23"/>
          <w:szCs w:val="23"/>
        </w:rPr>
        <w:t xml:space="preserve">, accelerating the decline in our commuting emissions.  </w:t>
      </w:r>
      <w:r w:rsidRPr="0048647D">
        <w:rPr>
          <w:sz w:val="23"/>
          <w:szCs w:val="23"/>
        </w:rPr>
        <w:t>Purchased electricity makes up 8</w:t>
      </w:r>
      <w:r w:rsidR="00EE5F47">
        <w:rPr>
          <w:sz w:val="23"/>
          <w:szCs w:val="23"/>
        </w:rPr>
        <w:t>3</w:t>
      </w:r>
      <w:r w:rsidRPr="0048647D">
        <w:rPr>
          <w:sz w:val="23"/>
          <w:szCs w:val="23"/>
        </w:rPr>
        <w:t xml:space="preserve"> percent of our Scope 1 and 2 emissions</w:t>
      </w:r>
      <w:r>
        <w:rPr>
          <w:sz w:val="23"/>
          <w:szCs w:val="23"/>
        </w:rPr>
        <w:t xml:space="preserve"> (before renewable energy is subtracted out)</w:t>
      </w:r>
      <w:r w:rsidRPr="0048647D">
        <w:rPr>
          <w:sz w:val="23"/>
          <w:szCs w:val="23"/>
        </w:rPr>
        <w:t xml:space="preserve">, which emphasizes the need to improve energy efficiency in our buildings.  To this end, we will continue to </w:t>
      </w:r>
      <w:r>
        <w:rPr>
          <w:sz w:val="23"/>
          <w:szCs w:val="23"/>
        </w:rPr>
        <w:t xml:space="preserve">actively implement improvements, such as installing advanced meters and awarding energy </w:t>
      </w:r>
      <w:r w:rsidR="00FE6138">
        <w:rPr>
          <w:sz w:val="23"/>
          <w:szCs w:val="23"/>
        </w:rPr>
        <w:t xml:space="preserve">savings </w:t>
      </w:r>
      <w:r>
        <w:rPr>
          <w:sz w:val="23"/>
          <w:szCs w:val="23"/>
        </w:rPr>
        <w:t>performance contracts (ESPCs).</w:t>
      </w:r>
    </w:p>
    <w:p w14:paraId="13789673" w14:textId="77777777" w:rsidR="00B84183" w:rsidRPr="00F66C81" w:rsidRDefault="00B84183" w:rsidP="00B84183">
      <w:pPr>
        <w:spacing w:after="0"/>
        <w:rPr>
          <w:sz w:val="22"/>
        </w:rPr>
      </w:pPr>
    </w:p>
    <w:p w14:paraId="1430780C"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Goal 2:  Sustainable Buildings</w:t>
      </w:r>
      <w:r w:rsidRPr="00AD3DDE">
        <w:rPr>
          <w:rFonts w:eastAsia="Cambria" w:cs="Times New Roman"/>
          <w:b/>
          <w:color w:val="005A9E"/>
          <w:szCs w:val="24"/>
        </w:rPr>
        <w:tab/>
      </w:r>
    </w:p>
    <w:p w14:paraId="227A15AA" w14:textId="0CE3B10A" w:rsidR="00B84183" w:rsidRDefault="00B84183" w:rsidP="00B84183">
      <w:pPr>
        <w:spacing w:after="0"/>
        <w:rPr>
          <w:rFonts w:eastAsia="Cambria" w:cs="Times New Roman"/>
          <w:szCs w:val="24"/>
        </w:rPr>
      </w:pPr>
      <w:r>
        <w:rPr>
          <w:color w:val="000000"/>
          <w:sz w:val="23"/>
          <w:szCs w:val="23"/>
        </w:rPr>
        <w:t xml:space="preserve">The General Services Administration (GSA) delegated responsibility to us for reporting on Federal sustainability requirements for our </w:t>
      </w:r>
      <w:r w:rsidR="00F25883">
        <w:rPr>
          <w:color w:val="000000"/>
          <w:sz w:val="23"/>
          <w:szCs w:val="23"/>
        </w:rPr>
        <w:t>h</w:t>
      </w:r>
      <w:r>
        <w:rPr>
          <w:color w:val="000000"/>
          <w:sz w:val="23"/>
          <w:szCs w:val="23"/>
        </w:rPr>
        <w:t>eadquarters (HQ) campus and eight other facilities</w:t>
      </w:r>
      <w:r w:rsidR="00EE5F47">
        <w:rPr>
          <w:color w:val="000000"/>
          <w:sz w:val="23"/>
          <w:szCs w:val="23"/>
        </w:rPr>
        <w:t xml:space="preserve"> across the country.  In FY 2016</w:t>
      </w:r>
      <w:r>
        <w:rPr>
          <w:color w:val="000000"/>
          <w:sz w:val="23"/>
          <w:szCs w:val="23"/>
        </w:rPr>
        <w:t xml:space="preserve">, these delegated facilities </w:t>
      </w:r>
      <w:r w:rsidR="00EE5F47">
        <w:rPr>
          <w:color w:val="000000"/>
          <w:sz w:val="23"/>
          <w:szCs w:val="23"/>
        </w:rPr>
        <w:t>exceeded the 2.5</w:t>
      </w:r>
      <w:r w:rsidR="00F25883">
        <w:rPr>
          <w:color w:val="000000"/>
          <w:sz w:val="23"/>
          <w:szCs w:val="23"/>
        </w:rPr>
        <w:t xml:space="preserve"> </w:t>
      </w:r>
      <w:r w:rsidR="00F25883" w:rsidRPr="00F25883">
        <w:rPr>
          <w:color w:val="000000"/>
          <w:sz w:val="23"/>
          <w:szCs w:val="23"/>
        </w:rPr>
        <w:t xml:space="preserve">percent </w:t>
      </w:r>
      <w:r>
        <w:rPr>
          <w:color w:val="000000"/>
          <w:sz w:val="23"/>
          <w:szCs w:val="23"/>
        </w:rPr>
        <w:t>reduction in energy intensity (B</w:t>
      </w:r>
      <w:r w:rsidR="00EE5F47">
        <w:rPr>
          <w:color w:val="000000"/>
          <w:sz w:val="23"/>
          <w:szCs w:val="23"/>
        </w:rPr>
        <w:t>tu/square foot) from the FY 2015</w:t>
      </w:r>
      <w:r>
        <w:rPr>
          <w:color w:val="000000"/>
          <w:sz w:val="23"/>
          <w:szCs w:val="23"/>
        </w:rPr>
        <w:t xml:space="preserve"> baseline</w:t>
      </w:r>
      <w:r w:rsidR="00EE5F47">
        <w:rPr>
          <w:color w:val="000000"/>
          <w:sz w:val="23"/>
          <w:szCs w:val="23"/>
        </w:rPr>
        <w:t>, achieving a 9.4</w:t>
      </w:r>
      <w:r w:rsidR="00F25883">
        <w:rPr>
          <w:color w:val="000000"/>
          <w:sz w:val="23"/>
          <w:szCs w:val="23"/>
        </w:rPr>
        <w:t xml:space="preserve"> percent </w:t>
      </w:r>
      <w:r w:rsidR="00EE5F47">
        <w:rPr>
          <w:color w:val="000000"/>
          <w:sz w:val="23"/>
          <w:szCs w:val="23"/>
        </w:rPr>
        <w:t>reduction</w:t>
      </w:r>
      <w:r>
        <w:rPr>
          <w:color w:val="000000"/>
          <w:sz w:val="23"/>
          <w:szCs w:val="23"/>
        </w:rPr>
        <w:t xml:space="preserve">.  We will strive to </w:t>
      </w:r>
      <w:r w:rsidR="00EE5F47">
        <w:rPr>
          <w:color w:val="000000"/>
          <w:sz w:val="23"/>
          <w:szCs w:val="23"/>
        </w:rPr>
        <w:t>continue our strong progress on t</w:t>
      </w:r>
      <w:r>
        <w:rPr>
          <w:color w:val="000000"/>
          <w:sz w:val="23"/>
          <w:szCs w:val="23"/>
        </w:rPr>
        <w:t xml:space="preserve">he goal of Executive Order (EO) 13693 for energy intensity in FY 2025 to be 25 percent lower than in FY 2015, through efforts such as </w:t>
      </w:r>
      <w:r w:rsidRPr="0048647D">
        <w:rPr>
          <w:bCs/>
          <w:sz w:val="23"/>
          <w:szCs w:val="23"/>
          <w:lang w:val="en"/>
        </w:rPr>
        <w:t>light-emitting diode (</w:t>
      </w:r>
      <w:r w:rsidRPr="0048647D">
        <w:rPr>
          <w:sz w:val="23"/>
          <w:szCs w:val="23"/>
        </w:rPr>
        <w:t>LED)</w:t>
      </w:r>
      <w:r>
        <w:rPr>
          <w:color w:val="000000"/>
          <w:sz w:val="23"/>
          <w:szCs w:val="23"/>
        </w:rPr>
        <w:t xml:space="preserve"> testbeds, energy audits, ESPCs, and</w:t>
      </w:r>
      <w:r w:rsidRPr="0012364E">
        <w:rPr>
          <w:color w:val="000000"/>
          <w:sz w:val="23"/>
          <w:szCs w:val="23"/>
        </w:rPr>
        <w:t xml:space="preserve"> </w:t>
      </w:r>
      <w:r>
        <w:rPr>
          <w:color w:val="000000"/>
          <w:sz w:val="23"/>
          <w:szCs w:val="23"/>
        </w:rPr>
        <w:t xml:space="preserve">using building data to improve energy performance.  In accordance with EO 13693, we aim for 15 percent of our delegated gross square footage to comply with the </w:t>
      </w:r>
      <w:r>
        <w:rPr>
          <w:i/>
          <w:color w:val="000000"/>
          <w:sz w:val="23"/>
          <w:szCs w:val="23"/>
        </w:rPr>
        <w:t>Guiding Principles for Sustainable Federal Buildings</w:t>
      </w:r>
      <w:r>
        <w:rPr>
          <w:color w:val="000000"/>
          <w:sz w:val="23"/>
          <w:szCs w:val="23"/>
        </w:rPr>
        <w:t xml:space="preserve"> by FY 2025.  </w:t>
      </w:r>
    </w:p>
    <w:p w14:paraId="32EBCCE7" w14:textId="516E28DB" w:rsidR="00B84183" w:rsidRPr="00866C25" w:rsidRDefault="00B84183" w:rsidP="00B84183">
      <w:pPr>
        <w:spacing w:after="0"/>
        <w:rPr>
          <w:color w:val="000000"/>
          <w:sz w:val="23"/>
          <w:szCs w:val="23"/>
        </w:rPr>
      </w:pPr>
    </w:p>
    <w:p w14:paraId="1B2078B6"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 xml:space="preserve">Goal </w:t>
      </w:r>
      <w:r>
        <w:rPr>
          <w:rFonts w:eastAsia="Cambria" w:cs="Times New Roman"/>
          <w:b/>
          <w:color w:val="005A9E"/>
          <w:szCs w:val="24"/>
        </w:rPr>
        <w:t>3</w:t>
      </w:r>
      <w:r w:rsidRPr="00AD3DDE">
        <w:rPr>
          <w:rFonts w:eastAsia="Cambria" w:cs="Times New Roman"/>
          <w:b/>
          <w:color w:val="005A9E"/>
          <w:szCs w:val="24"/>
        </w:rPr>
        <w:t xml:space="preserve">:  </w:t>
      </w:r>
      <w:r>
        <w:rPr>
          <w:rFonts w:eastAsia="Cambria" w:cs="Times New Roman"/>
          <w:b/>
          <w:color w:val="005A9E"/>
          <w:szCs w:val="24"/>
        </w:rPr>
        <w:t xml:space="preserve">Clean and </w:t>
      </w:r>
      <w:r w:rsidRPr="00AD3DDE">
        <w:rPr>
          <w:rFonts w:eastAsia="Cambria" w:cs="Times New Roman"/>
          <w:b/>
          <w:color w:val="005A9E"/>
          <w:szCs w:val="24"/>
        </w:rPr>
        <w:t xml:space="preserve">Renewable Energy </w:t>
      </w:r>
    </w:p>
    <w:p w14:paraId="47C399D6" w14:textId="3D924B36" w:rsidR="00B84183" w:rsidRDefault="00B84183" w:rsidP="00B84183">
      <w:pPr>
        <w:spacing w:after="0"/>
        <w:rPr>
          <w:color w:val="000000"/>
          <w:sz w:val="23"/>
          <w:szCs w:val="23"/>
        </w:rPr>
      </w:pPr>
      <w:r>
        <w:rPr>
          <w:color w:val="000000"/>
          <w:sz w:val="23"/>
          <w:szCs w:val="23"/>
        </w:rPr>
        <w:t>Renewa</w:t>
      </w:r>
      <w:r w:rsidR="00EE5F47">
        <w:rPr>
          <w:color w:val="000000"/>
          <w:sz w:val="23"/>
          <w:szCs w:val="23"/>
        </w:rPr>
        <w:t>ble energy sources supplied 22.7</w:t>
      </w:r>
      <w:r>
        <w:rPr>
          <w:color w:val="000000"/>
          <w:sz w:val="23"/>
          <w:szCs w:val="23"/>
        </w:rPr>
        <w:t xml:space="preserve"> percent of </w:t>
      </w:r>
      <w:r w:rsidR="0009179D">
        <w:rPr>
          <w:color w:val="000000"/>
          <w:sz w:val="23"/>
          <w:szCs w:val="23"/>
        </w:rPr>
        <w:t>our total electricity in FY 2016</w:t>
      </w:r>
      <w:r>
        <w:rPr>
          <w:color w:val="000000"/>
          <w:sz w:val="23"/>
          <w:szCs w:val="23"/>
        </w:rPr>
        <w:t xml:space="preserve">, exceeding the goal of 10 percent.  Most of this comes from renewable energy certificates (REC), although we also generate </w:t>
      </w:r>
      <w:r w:rsidR="0009179D">
        <w:rPr>
          <w:color w:val="000000"/>
          <w:sz w:val="23"/>
          <w:szCs w:val="23"/>
        </w:rPr>
        <w:t>renewable energy on-site in five</w:t>
      </w:r>
      <w:r>
        <w:rPr>
          <w:color w:val="000000"/>
          <w:sz w:val="23"/>
          <w:szCs w:val="23"/>
        </w:rPr>
        <w:t xml:space="preserve"> locations.  </w:t>
      </w:r>
      <w:r w:rsidR="0009179D">
        <w:rPr>
          <w:color w:val="000000"/>
          <w:sz w:val="23"/>
          <w:szCs w:val="23"/>
        </w:rPr>
        <w:t>Four</w:t>
      </w:r>
      <w:r>
        <w:rPr>
          <w:color w:val="000000"/>
          <w:sz w:val="23"/>
          <w:szCs w:val="23"/>
        </w:rPr>
        <w:t xml:space="preserve"> are photovoltaic (PV) arrays that accounted for more than </w:t>
      </w:r>
      <w:r w:rsidR="0009179D">
        <w:rPr>
          <w:color w:val="000000"/>
          <w:sz w:val="23"/>
          <w:szCs w:val="23"/>
        </w:rPr>
        <w:t>2,111</w:t>
      </w:r>
      <w:r>
        <w:rPr>
          <w:color w:val="000000"/>
          <w:sz w:val="23"/>
          <w:szCs w:val="23"/>
        </w:rPr>
        <w:t xml:space="preserve"> mega</w:t>
      </w:r>
      <w:r w:rsidR="0009179D">
        <w:rPr>
          <w:color w:val="000000"/>
          <w:sz w:val="23"/>
          <w:szCs w:val="23"/>
        </w:rPr>
        <w:t>watt-hours (MWh) of electricity. This number increased significantly over FY 2015 thanks to the new array at the National Security Center.</w:t>
      </w:r>
      <w:r>
        <w:rPr>
          <w:color w:val="000000"/>
          <w:sz w:val="23"/>
          <w:szCs w:val="23"/>
        </w:rPr>
        <w:t xml:space="preserve"> </w:t>
      </w:r>
      <w:r w:rsidR="0009179D">
        <w:rPr>
          <w:color w:val="000000"/>
          <w:sz w:val="23"/>
          <w:szCs w:val="23"/>
        </w:rPr>
        <w:t>The other location</w:t>
      </w:r>
      <w:r>
        <w:rPr>
          <w:color w:val="000000"/>
          <w:sz w:val="23"/>
          <w:szCs w:val="23"/>
        </w:rPr>
        <w:t xml:space="preserve"> is a small wind turbine that generates less than 1 MWh per year.  RECs will remain the primary strategy in achieving our goals for clean and renewable energy.</w:t>
      </w:r>
      <w:r w:rsidR="0009179D">
        <w:rPr>
          <w:color w:val="000000"/>
          <w:sz w:val="23"/>
          <w:szCs w:val="23"/>
        </w:rPr>
        <w:t xml:space="preserve"> 16.8 percent of SSA’s total electric energy comes from clean energy, exceeding the 10</w:t>
      </w:r>
      <w:r w:rsidR="00F25883">
        <w:rPr>
          <w:color w:val="000000"/>
          <w:sz w:val="23"/>
          <w:szCs w:val="23"/>
        </w:rPr>
        <w:t xml:space="preserve"> percent </w:t>
      </w:r>
      <w:r w:rsidR="0009179D">
        <w:rPr>
          <w:color w:val="000000"/>
          <w:sz w:val="23"/>
          <w:szCs w:val="23"/>
        </w:rPr>
        <w:t xml:space="preserve">goal for FY 2016. </w:t>
      </w:r>
    </w:p>
    <w:p w14:paraId="35F177AA" w14:textId="77777777" w:rsidR="00B84183" w:rsidRPr="00866C25" w:rsidRDefault="00B84183" w:rsidP="00B84183">
      <w:pPr>
        <w:spacing w:after="0"/>
        <w:rPr>
          <w:color w:val="000000"/>
          <w:sz w:val="23"/>
          <w:szCs w:val="23"/>
        </w:rPr>
      </w:pPr>
    </w:p>
    <w:p w14:paraId="0B889532"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Goal 4:  Water Use Efficiency &amp; Management</w:t>
      </w:r>
    </w:p>
    <w:p w14:paraId="11D049E0" w14:textId="0B4E84F3" w:rsidR="00B84183" w:rsidRDefault="00B22C8A" w:rsidP="00B84183">
      <w:pPr>
        <w:widowControl w:val="0"/>
        <w:spacing w:after="0"/>
        <w:rPr>
          <w:sz w:val="23"/>
          <w:szCs w:val="23"/>
        </w:rPr>
      </w:pPr>
      <w:r>
        <w:rPr>
          <w:noProof/>
        </w:rPr>
        <mc:AlternateContent>
          <mc:Choice Requires="wpg">
            <w:drawing>
              <wp:anchor distT="0" distB="0" distL="114300" distR="114300" simplePos="0" relativeHeight="251655168" behindDoc="1" locked="0" layoutInCell="1" allowOverlap="1" wp14:anchorId="18F8F127" wp14:editId="2F36A003">
                <wp:simplePos x="0" y="0"/>
                <wp:positionH relativeFrom="column">
                  <wp:posOffset>-19050</wp:posOffset>
                </wp:positionH>
                <wp:positionV relativeFrom="paragraph">
                  <wp:posOffset>815340</wp:posOffset>
                </wp:positionV>
                <wp:extent cx="6333490" cy="1638300"/>
                <wp:effectExtent l="0" t="0" r="10160" b="0"/>
                <wp:wrapTight wrapText="bothSides">
                  <wp:wrapPolygon edited="0">
                    <wp:start x="0" y="0"/>
                    <wp:lineTo x="0" y="21349"/>
                    <wp:lineTo x="21570" y="21349"/>
                    <wp:lineTo x="21570" y="0"/>
                    <wp:lineTo x="0" y="0"/>
                  </wp:wrapPolygon>
                </wp:wrapTight>
                <wp:docPr id="3" name="Group 1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333490" cy="1638300"/>
                          <a:chOff x="-17791" y="150351"/>
                          <a:chExt cx="5915024" cy="1724025"/>
                        </a:xfrm>
                      </wpg:grpSpPr>
                      <wpg:graphicFrame>
                        <wpg:cNvPr id="4" name="Chart 4">
                          <a:extLst/>
                        </wpg:cNvPr>
                        <wpg:cNvFrPr/>
                        <wpg:xfrm>
                          <a:off x="-17791" y="150351"/>
                          <a:ext cx="5915024" cy="1724025"/>
                        </wpg:xfrm>
                        <a:graphic>
                          <a:graphicData uri="http://schemas.openxmlformats.org/drawingml/2006/chart">
                            <c:chart xmlns:c="http://schemas.openxmlformats.org/drawingml/2006/chart" xmlns:r="http://schemas.openxmlformats.org/officeDocument/2006/relationships" r:id="rId14"/>
                          </a:graphicData>
                        </a:graphic>
                      </wpg:graphicFrame>
                      <wps:wsp>
                        <wps:cNvPr id="5" name="Curved Connector 16">
                          <a:extLst/>
                        </wps:cNvPr>
                        <wps:cNvCnPr/>
                        <wps:spPr>
                          <a:xfrm rot="10800000" flipV="1">
                            <a:off x="2705910" y="1232684"/>
                            <a:ext cx="466723" cy="123829"/>
                          </a:xfrm>
                          <a:prstGeom prst="curvedConnector3">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4DB5D44B" id="Group 19" o:spid="_x0000_s1026" style="position:absolute;margin-left:-1.5pt;margin-top:64.2pt;width:498.7pt;height:129pt;z-index:-251661312" coordorigin="-177,1503" coordsize="59150,17240"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">
                <v:shape id="Chart 4" o:spid="_x0000_s1027" type="#_x0000_t75" style="position:absolute;left:-234;top:1439;width:59265;height:17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">
                  <v:imagedata r:id="rId15" o:title=""/>
                  <o:lock v:ext="edit" aspectratio="f"/>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6" o:spid="_x0000_s1028" type="#_x0000_t38" style="position:absolute;left:27059;top:12326;width:4667;height:123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" adj="10800" strokecolor="black [3213]" strokeweight="1.25pt">
                  <v:stroke endarrow="block"/>
                </v:shape>
                <w10:wrap type="tight"/>
              </v:group>
            </w:pict>
          </mc:Fallback>
        </mc:AlternateContent>
      </w:r>
      <w:r w:rsidR="00B84183" w:rsidRPr="0048647D">
        <w:rPr>
          <w:sz w:val="23"/>
          <w:szCs w:val="23"/>
        </w:rPr>
        <w:t xml:space="preserve">We are proud to </w:t>
      </w:r>
      <w:r w:rsidR="00B84183">
        <w:rPr>
          <w:sz w:val="23"/>
          <w:szCs w:val="23"/>
        </w:rPr>
        <w:t xml:space="preserve">have </w:t>
      </w:r>
      <w:r w:rsidR="00B84183" w:rsidRPr="0048647D">
        <w:rPr>
          <w:sz w:val="23"/>
          <w:szCs w:val="23"/>
        </w:rPr>
        <w:t>greatly exceed</w:t>
      </w:r>
      <w:r w:rsidR="00B84183">
        <w:rPr>
          <w:sz w:val="23"/>
          <w:szCs w:val="23"/>
        </w:rPr>
        <w:t>ed</w:t>
      </w:r>
      <w:r w:rsidR="00B84183" w:rsidRPr="0048647D">
        <w:rPr>
          <w:sz w:val="23"/>
          <w:szCs w:val="23"/>
        </w:rPr>
        <w:t xml:space="preserve"> the FY 2015 goal of 1</w:t>
      </w:r>
      <w:r w:rsidR="002A3FDB">
        <w:rPr>
          <w:sz w:val="23"/>
          <w:szCs w:val="23"/>
        </w:rPr>
        <w:t>8</w:t>
      </w:r>
      <w:r w:rsidR="00B84183" w:rsidRPr="0048647D">
        <w:rPr>
          <w:sz w:val="23"/>
          <w:szCs w:val="23"/>
        </w:rPr>
        <w:t xml:space="preserve"> percent water intensity reduction, with a reduction of </w:t>
      </w:r>
      <w:r w:rsidR="002A3FDB">
        <w:rPr>
          <w:sz w:val="23"/>
          <w:szCs w:val="23"/>
        </w:rPr>
        <w:t>49</w:t>
      </w:r>
      <w:r w:rsidR="00B84183" w:rsidRPr="0048647D">
        <w:rPr>
          <w:sz w:val="23"/>
          <w:szCs w:val="23"/>
        </w:rPr>
        <w:t xml:space="preserve"> percent</w:t>
      </w:r>
      <w:r w:rsidR="00B84183">
        <w:rPr>
          <w:sz w:val="23"/>
          <w:szCs w:val="23"/>
        </w:rPr>
        <w:t>, as shown in Figure ES-1</w:t>
      </w:r>
      <w:r w:rsidR="00B84183" w:rsidRPr="0048647D">
        <w:rPr>
          <w:sz w:val="23"/>
          <w:szCs w:val="23"/>
        </w:rPr>
        <w:t>.  We are already below the FY 202</w:t>
      </w:r>
      <w:r w:rsidR="00B84183">
        <w:rPr>
          <w:sz w:val="23"/>
          <w:szCs w:val="23"/>
        </w:rPr>
        <w:t>5</w:t>
      </w:r>
      <w:r w:rsidR="00B84183" w:rsidRPr="0048647D">
        <w:rPr>
          <w:sz w:val="23"/>
          <w:szCs w:val="23"/>
        </w:rPr>
        <w:t xml:space="preserve"> target, b</w:t>
      </w:r>
      <w:r w:rsidR="00B84183">
        <w:rPr>
          <w:sz w:val="23"/>
          <w:szCs w:val="23"/>
        </w:rPr>
        <w:t xml:space="preserve">ut </w:t>
      </w:r>
      <w:r w:rsidR="00B84183" w:rsidRPr="0048647D">
        <w:rPr>
          <w:sz w:val="23"/>
          <w:szCs w:val="23"/>
        </w:rPr>
        <w:t>will continue to pursue measures that reduce our water intensity and maintain efficient practice</w:t>
      </w:r>
      <w:r w:rsidR="00B84183">
        <w:rPr>
          <w:sz w:val="23"/>
          <w:szCs w:val="23"/>
        </w:rPr>
        <w:t xml:space="preserve"> for the use of water</w:t>
      </w:r>
      <w:r w:rsidR="00B84183" w:rsidRPr="0048647D">
        <w:rPr>
          <w:sz w:val="23"/>
          <w:szCs w:val="23"/>
        </w:rPr>
        <w:t xml:space="preserve">.  All delegated facilities are metered for both potable and irrigation water consumption.  </w:t>
      </w:r>
    </w:p>
    <w:p w14:paraId="15961E6F" w14:textId="78CDD418" w:rsidR="00B84183" w:rsidRPr="0048647D" w:rsidRDefault="00B22C8A" w:rsidP="00B84183">
      <w:pPr>
        <w:widowControl w:val="0"/>
        <w:spacing w:after="0"/>
        <w:jc w:val="center"/>
        <w:rPr>
          <w:rFonts w:eastAsia="Cambria" w:cs="Times New Roman"/>
          <w:sz w:val="23"/>
          <w:szCs w:val="23"/>
        </w:rPr>
      </w:pPr>
      <w:r w:rsidRPr="00B22C8A">
        <w:rPr>
          <w:b/>
          <w:sz w:val="23"/>
          <w:szCs w:val="23"/>
        </w:rPr>
        <w:t>Figure ES-1: Potable Water Intensity Reductions and Future Goals</w:t>
      </w:r>
    </w:p>
    <w:p w14:paraId="3B1A5115" w14:textId="77777777" w:rsidR="00B84183" w:rsidRDefault="00B84183" w:rsidP="00B84183">
      <w:pPr>
        <w:spacing w:after="0"/>
        <w:jc w:val="center"/>
      </w:pPr>
    </w:p>
    <w:p w14:paraId="7BA5546A" w14:textId="77777777" w:rsidR="00B84183" w:rsidRPr="00AD3DDE" w:rsidRDefault="00B84183" w:rsidP="00B84183">
      <w:pPr>
        <w:spacing w:after="0"/>
        <w:rPr>
          <w:rFonts w:eastAsia="Cambria" w:cs="Times New Roman"/>
          <w:b/>
          <w:color w:val="005A9E"/>
          <w:szCs w:val="24"/>
        </w:rPr>
      </w:pPr>
      <w:r w:rsidRPr="00AD3DDE">
        <w:rPr>
          <w:rFonts w:eastAsia="Cambria" w:cs="Times New Roman"/>
          <w:b/>
          <w:color w:val="005A9E"/>
          <w:szCs w:val="24"/>
        </w:rPr>
        <w:t xml:space="preserve">Goal </w:t>
      </w:r>
      <w:r>
        <w:rPr>
          <w:rFonts w:eastAsia="Cambria" w:cs="Times New Roman"/>
          <w:b/>
          <w:color w:val="005A9E"/>
          <w:szCs w:val="24"/>
        </w:rPr>
        <w:t>5</w:t>
      </w:r>
      <w:r w:rsidRPr="00AD3DDE">
        <w:rPr>
          <w:rFonts w:eastAsia="Cambria" w:cs="Times New Roman"/>
          <w:b/>
          <w:color w:val="005A9E"/>
          <w:szCs w:val="24"/>
        </w:rPr>
        <w:t xml:space="preserve">:  Fleet Management </w:t>
      </w:r>
      <w:r w:rsidRPr="00AD3DDE">
        <w:rPr>
          <w:rFonts w:eastAsia="Cambria" w:cs="Times New Roman"/>
          <w:b/>
          <w:color w:val="005A9E"/>
          <w:szCs w:val="24"/>
        </w:rPr>
        <w:tab/>
      </w:r>
    </w:p>
    <w:p w14:paraId="10A452C8" w14:textId="05F51F22" w:rsidR="00B84183" w:rsidRDefault="00B84183" w:rsidP="00B84183">
      <w:pPr>
        <w:spacing w:after="0"/>
        <w:rPr>
          <w:sz w:val="23"/>
          <w:szCs w:val="23"/>
        </w:rPr>
      </w:pPr>
      <w:r>
        <w:rPr>
          <w:sz w:val="23"/>
          <w:szCs w:val="23"/>
        </w:rPr>
        <w:t>The amount of a</w:t>
      </w:r>
      <w:r w:rsidRPr="0048647D">
        <w:rPr>
          <w:sz w:val="23"/>
          <w:szCs w:val="23"/>
        </w:rPr>
        <w:t>lternative fuel use</w:t>
      </w:r>
      <w:r>
        <w:rPr>
          <w:sz w:val="23"/>
          <w:szCs w:val="23"/>
        </w:rPr>
        <w:t>d</w:t>
      </w:r>
      <w:r w:rsidRPr="0048647D">
        <w:rPr>
          <w:sz w:val="23"/>
          <w:szCs w:val="23"/>
        </w:rPr>
        <w:t xml:space="preserve"> </w:t>
      </w:r>
      <w:r>
        <w:rPr>
          <w:sz w:val="23"/>
          <w:szCs w:val="23"/>
        </w:rPr>
        <w:t>by</w:t>
      </w:r>
      <w:r w:rsidRPr="0048647D">
        <w:rPr>
          <w:sz w:val="23"/>
          <w:szCs w:val="23"/>
        </w:rPr>
        <w:t xml:space="preserve"> our fleet </w:t>
      </w:r>
      <w:r w:rsidR="00B22C8A">
        <w:rPr>
          <w:sz w:val="23"/>
          <w:szCs w:val="23"/>
        </w:rPr>
        <w:t>in FY 2016</w:t>
      </w:r>
      <w:r>
        <w:rPr>
          <w:sz w:val="23"/>
          <w:szCs w:val="23"/>
        </w:rPr>
        <w:t xml:space="preserve"> </w:t>
      </w:r>
      <w:r w:rsidRPr="0048647D">
        <w:rPr>
          <w:sz w:val="23"/>
          <w:szCs w:val="23"/>
        </w:rPr>
        <w:t xml:space="preserve">reached </w:t>
      </w:r>
      <w:r>
        <w:rPr>
          <w:sz w:val="23"/>
          <w:szCs w:val="23"/>
        </w:rPr>
        <w:t xml:space="preserve">more than </w:t>
      </w:r>
      <w:r w:rsidR="00B22C8A">
        <w:rPr>
          <w:sz w:val="23"/>
          <w:szCs w:val="23"/>
        </w:rPr>
        <w:t>13.9</w:t>
      </w:r>
      <w:r w:rsidRPr="0048647D">
        <w:rPr>
          <w:sz w:val="23"/>
          <w:szCs w:val="23"/>
        </w:rPr>
        <w:t xml:space="preserve"> percent of total use, representing an increase of </w:t>
      </w:r>
      <w:r w:rsidR="00B22C8A">
        <w:rPr>
          <w:sz w:val="23"/>
          <w:szCs w:val="23"/>
        </w:rPr>
        <w:t>1,384</w:t>
      </w:r>
      <w:r w:rsidRPr="0048647D">
        <w:rPr>
          <w:sz w:val="23"/>
          <w:szCs w:val="23"/>
        </w:rPr>
        <w:t xml:space="preserve"> percent since FY 2005</w:t>
      </w:r>
      <w:r>
        <w:rPr>
          <w:sz w:val="23"/>
          <w:szCs w:val="23"/>
        </w:rPr>
        <w:t>,</w:t>
      </w:r>
      <w:r w:rsidRPr="0048647D">
        <w:rPr>
          <w:sz w:val="23"/>
          <w:szCs w:val="23"/>
        </w:rPr>
        <w:t xml:space="preserve"> far exceeding the </w:t>
      </w:r>
      <w:r w:rsidR="005C7012">
        <w:rPr>
          <w:sz w:val="23"/>
          <w:szCs w:val="23"/>
        </w:rPr>
        <w:t>F</w:t>
      </w:r>
      <w:r w:rsidRPr="0048647D">
        <w:rPr>
          <w:sz w:val="23"/>
          <w:szCs w:val="23"/>
        </w:rPr>
        <w:t>ederal goal of 159.4 percent</w:t>
      </w:r>
      <w:r>
        <w:rPr>
          <w:sz w:val="23"/>
          <w:szCs w:val="23"/>
        </w:rPr>
        <w:t xml:space="preserve">. </w:t>
      </w:r>
      <w:r w:rsidRPr="0048647D">
        <w:rPr>
          <w:sz w:val="23"/>
          <w:szCs w:val="23"/>
        </w:rPr>
        <w:t xml:space="preserve"> </w:t>
      </w:r>
    </w:p>
    <w:p w14:paraId="616068BA" w14:textId="2C6D2B79" w:rsidR="00B84183" w:rsidRPr="00A84044" w:rsidRDefault="00B84183" w:rsidP="00B84183">
      <w:pPr>
        <w:spacing w:after="0"/>
        <w:rPr>
          <w:sz w:val="23"/>
          <w:szCs w:val="23"/>
        </w:rPr>
      </w:pPr>
      <w:r>
        <w:rPr>
          <w:sz w:val="23"/>
          <w:szCs w:val="23"/>
        </w:rPr>
        <w:t xml:space="preserve">EO 13693 replaced the fuel-based goals with a new </w:t>
      </w:r>
      <w:r w:rsidRPr="0048647D">
        <w:rPr>
          <w:sz w:val="23"/>
          <w:szCs w:val="23"/>
        </w:rPr>
        <w:t>fleet performance metric</w:t>
      </w:r>
      <w:r>
        <w:rPr>
          <w:sz w:val="23"/>
          <w:szCs w:val="23"/>
        </w:rPr>
        <w:t xml:space="preserve">: GHG </w:t>
      </w:r>
      <w:r w:rsidRPr="0048647D">
        <w:rPr>
          <w:sz w:val="23"/>
          <w:szCs w:val="23"/>
        </w:rPr>
        <w:t>emissions</w:t>
      </w:r>
      <w:r>
        <w:rPr>
          <w:sz w:val="23"/>
          <w:szCs w:val="23"/>
        </w:rPr>
        <w:t xml:space="preserve"> of the fleet per </w:t>
      </w:r>
      <w:r w:rsidRPr="0048647D">
        <w:rPr>
          <w:sz w:val="23"/>
          <w:szCs w:val="23"/>
        </w:rPr>
        <w:t xml:space="preserve">mile </w:t>
      </w:r>
      <w:r>
        <w:rPr>
          <w:sz w:val="23"/>
          <w:szCs w:val="23"/>
        </w:rPr>
        <w:t xml:space="preserve">driven, </w:t>
      </w:r>
      <w:r w:rsidRPr="0048647D">
        <w:rPr>
          <w:sz w:val="23"/>
          <w:szCs w:val="23"/>
        </w:rPr>
        <w:t>relative to an FY 2014 baseline</w:t>
      </w:r>
      <w:r>
        <w:rPr>
          <w:sz w:val="23"/>
          <w:szCs w:val="23"/>
        </w:rPr>
        <w:t>.  Our FY 201</w:t>
      </w:r>
      <w:r w:rsidR="00B22C8A">
        <w:rPr>
          <w:sz w:val="23"/>
          <w:szCs w:val="23"/>
        </w:rPr>
        <w:t>6</w:t>
      </w:r>
      <w:r>
        <w:rPr>
          <w:sz w:val="23"/>
          <w:szCs w:val="23"/>
        </w:rPr>
        <w:t xml:space="preserve"> GHG emissions per mile travel</w:t>
      </w:r>
      <w:r w:rsidR="002442E9">
        <w:rPr>
          <w:sz w:val="23"/>
          <w:szCs w:val="23"/>
        </w:rPr>
        <w:t>ed</w:t>
      </w:r>
      <w:r>
        <w:rPr>
          <w:sz w:val="23"/>
          <w:szCs w:val="23"/>
        </w:rPr>
        <w:t xml:space="preserve"> were </w:t>
      </w:r>
      <w:r w:rsidR="00B22C8A">
        <w:rPr>
          <w:sz w:val="23"/>
          <w:szCs w:val="23"/>
        </w:rPr>
        <w:t>3.4</w:t>
      </w:r>
      <w:r>
        <w:rPr>
          <w:sz w:val="23"/>
          <w:szCs w:val="23"/>
        </w:rPr>
        <w:t xml:space="preserve"> percent lower than in FY 2014.  Our main path to reaching</w:t>
      </w:r>
      <w:r w:rsidRPr="0048647D">
        <w:rPr>
          <w:sz w:val="23"/>
          <w:szCs w:val="23"/>
        </w:rPr>
        <w:t xml:space="preserve"> the FY 2017 goal of </w:t>
      </w:r>
      <w:r>
        <w:rPr>
          <w:sz w:val="23"/>
          <w:szCs w:val="23"/>
        </w:rPr>
        <w:t xml:space="preserve">a </w:t>
      </w:r>
      <w:r w:rsidRPr="0048647D">
        <w:rPr>
          <w:sz w:val="23"/>
          <w:szCs w:val="23"/>
        </w:rPr>
        <w:t xml:space="preserve">4 percent reduction </w:t>
      </w:r>
      <w:r>
        <w:rPr>
          <w:sz w:val="23"/>
          <w:szCs w:val="23"/>
        </w:rPr>
        <w:t>is to increase</w:t>
      </w:r>
      <w:r w:rsidRPr="0048647D">
        <w:rPr>
          <w:sz w:val="23"/>
          <w:szCs w:val="23"/>
        </w:rPr>
        <w:t xml:space="preserve"> the number of electric and </w:t>
      </w:r>
      <w:r>
        <w:rPr>
          <w:sz w:val="23"/>
          <w:szCs w:val="23"/>
        </w:rPr>
        <w:t xml:space="preserve">plug-in </w:t>
      </w:r>
      <w:r w:rsidRPr="0048647D">
        <w:rPr>
          <w:sz w:val="23"/>
          <w:szCs w:val="23"/>
        </w:rPr>
        <w:t>hybrid vehicles in the fleet</w:t>
      </w:r>
      <w:r>
        <w:rPr>
          <w:sz w:val="23"/>
          <w:szCs w:val="23"/>
        </w:rPr>
        <w:t>.  However, we will also</w:t>
      </w:r>
      <w:r w:rsidRPr="0048647D">
        <w:rPr>
          <w:sz w:val="23"/>
          <w:szCs w:val="23"/>
        </w:rPr>
        <w:t xml:space="preserve"> </w:t>
      </w:r>
      <w:r>
        <w:rPr>
          <w:sz w:val="23"/>
          <w:szCs w:val="23"/>
        </w:rPr>
        <w:t xml:space="preserve">install </w:t>
      </w:r>
      <w:r w:rsidRPr="0048647D">
        <w:rPr>
          <w:sz w:val="23"/>
          <w:szCs w:val="23"/>
        </w:rPr>
        <w:t>Category I</w:t>
      </w:r>
      <w:r>
        <w:rPr>
          <w:sz w:val="23"/>
          <w:szCs w:val="23"/>
        </w:rPr>
        <w:t>I telematics in agency vehicles, continue</w:t>
      </w:r>
      <w:r w:rsidRPr="0048647D">
        <w:rPr>
          <w:sz w:val="23"/>
          <w:szCs w:val="23"/>
        </w:rPr>
        <w:t xml:space="preserve"> right-sizing and optimizing </w:t>
      </w:r>
      <w:r>
        <w:rPr>
          <w:sz w:val="23"/>
          <w:szCs w:val="23"/>
        </w:rPr>
        <w:t>our</w:t>
      </w:r>
      <w:r w:rsidRPr="0048647D">
        <w:rPr>
          <w:sz w:val="23"/>
          <w:szCs w:val="23"/>
        </w:rPr>
        <w:t xml:space="preserve"> fleet</w:t>
      </w:r>
      <w:r>
        <w:rPr>
          <w:sz w:val="23"/>
          <w:szCs w:val="23"/>
        </w:rPr>
        <w:t>, and</w:t>
      </w:r>
      <w:r w:rsidRPr="0048647D">
        <w:rPr>
          <w:sz w:val="23"/>
          <w:szCs w:val="23"/>
        </w:rPr>
        <w:t xml:space="preserve"> continue</w:t>
      </w:r>
      <w:r>
        <w:rPr>
          <w:sz w:val="23"/>
          <w:szCs w:val="23"/>
        </w:rPr>
        <w:t xml:space="preserve"> using the GSA</w:t>
      </w:r>
      <w:r w:rsidRPr="0048647D">
        <w:rPr>
          <w:sz w:val="23"/>
          <w:szCs w:val="23"/>
        </w:rPr>
        <w:t xml:space="preserve"> Fleet Dr</w:t>
      </w:r>
      <w:r>
        <w:rPr>
          <w:sz w:val="23"/>
          <w:szCs w:val="23"/>
        </w:rPr>
        <w:t>ive-Thru management system.</w:t>
      </w:r>
    </w:p>
    <w:p w14:paraId="4A9E811C" w14:textId="77777777" w:rsidR="00B84183" w:rsidRPr="00866C25" w:rsidRDefault="00B84183" w:rsidP="00B84183">
      <w:pPr>
        <w:spacing w:after="0"/>
      </w:pPr>
    </w:p>
    <w:p w14:paraId="3DCBEB56"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Goal 6:  Sustainable Acquisition</w:t>
      </w:r>
    </w:p>
    <w:p w14:paraId="531005C0" w14:textId="077D7F36" w:rsidR="00B84183" w:rsidRPr="0048647D" w:rsidRDefault="00B84183" w:rsidP="00B84183">
      <w:pPr>
        <w:spacing w:after="0"/>
        <w:rPr>
          <w:sz w:val="23"/>
          <w:szCs w:val="23"/>
        </w:rPr>
      </w:pPr>
      <w:r w:rsidRPr="0048647D">
        <w:rPr>
          <w:sz w:val="23"/>
          <w:szCs w:val="23"/>
        </w:rPr>
        <w:t>We conducted 100 percent of our acquisitions sustainably in FY 2015, as determined from our quarterly reviews of 5 percent of app</w:t>
      </w:r>
      <w:r w:rsidR="00B22C8A">
        <w:rPr>
          <w:sz w:val="23"/>
          <w:szCs w:val="23"/>
        </w:rPr>
        <w:t>licable new contract actions (53</w:t>
      </w:r>
      <w:r w:rsidRPr="0048647D">
        <w:rPr>
          <w:sz w:val="23"/>
          <w:szCs w:val="23"/>
        </w:rPr>
        <w:t xml:space="preserve"> actions).  All applicable new contract actions reviewed met Federal mandates for acquiring products that are energy efficient, water efficient, biobased, environmentally preferable, non-ozone </w:t>
      </w:r>
      <w:r w:rsidR="00B22C8A">
        <w:rPr>
          <w:sz w:val="23"/>
          <w:szCs w:val="23"/>
        </w:rPr>
        <w:t>depleting, recycled content, or</w:t>
      </w:r>
      <w:r>
        <w:rPr>
          <w:sz w:val="23"/>
          <w:szCs w:val="23"/>
        </w:rPr>
        <w:t xml:space="preserve"> </w:t>
      </w:r>
      <w:r w:rsidRPr="0048647D">
        <w:rPr>
          <w:sz w:val="23"/>
          <w:szCs w:val="23"/>
        </w:rPr>
        <w:t>non-toxic or less toxic alternatives, where these products meet performance requirements.  This success was possible due to the rigorous system we have in place to assure sustainable acquisition and ongoing effo</w:t>
      </w:r>
      <w:r w:rsidR="00B22C8A">
        <w:rPr>
          <w:sz w:val="23"/>
          <w:szCs w:val="23"/>
        </w:rPr>
        <w:t xml:space="preserve">rts at continuous improvement. </w:t>
      </w:r>
      <w:r w:rsidR="002442E9">
        <w:rPr>
          <w:sz w:val="23"/>
          <w:szCs w:val="23"/>
        </w:rPr>
        <w:t xml:space="preserve"> </w:t>
      </w:r>
      <w:r w:rsidRPr="0048647D">
        <w:rPr>
          <w:sz w:val="23"/>
          <w:szCs w:val="23"/>
        </w:rPr>
        <w:t>EO 13693</w:t>
      </w:r>
      <w:r>
        <w:rPr>
          <w:sz w:val="23"/>
          <w:szCs w:val="23"/>
        </w:rPr>
        <w:t xml:space="preserve"> </w:t>
      </w:r>
      <w:r w:rsidR="00B22C8A">
        <w:rPr>
          <w:sz w:val="23"/>
          <w:szCs w:val="23"/>
        </w:rPr>
        <w:t xml:space="preserve">requires SSA </w:t>
      </w:r>
      <w:r>
        <w:rPr>
          <w:sz w:val="23"/>
          <w:szCs w:val="23"/>
        </w:rPr>
        <w:t>to set an</w:t>
      </w:r>
      <w:r w:rsidR="00B22C8A">
        <w:rPr>
          <w:sz w:val="23"/>
          <w:szCs w:val="23"/>
        </w:rPr>
        <w:t xml:space="preserve"> FY 2018</w:t>
      </w:r>
      <w:r w:rsidRPr="0048647D">
        <w:rPr>
          <w:sz w:val="23"/>
          <w:szCs w:val="23"/>
        </w:rPr>
        <w:t xml:space="preserve"> target for biobased purchasing</w:t>
      </w:r>
      <w:r>
        <w:rPr>
          <w:sz w:val="23"/>
          <w:szCs w:val="23"/>
        </w:rPr>
        <w:t xml:space="preserve">, </w:t>
      </w:r>
      <w:r w:rsidR="00B22C8A">
        <w:rPr>
          <w:sz w:val="23"/>
          <w:szCs w:val="23"/>
        </w:rPr>
        <w:t xml:space="preserve">and </w:t>
      </w:r>
      <w:r>
        <w:rPr>
          <w:sz w:val="23"/>
          <w:szCs w:val="23"/>
        </w:rPr>
        <w:t>our target</w:t>
      </w:r>
      <w:r w:rsidRPr="0048647D">
        <w:rPr>
          <w:sz w:val="23"/>
          <w:szCs w:val="23"/>
        </w:rPr>
        <w:t xml:space="preserve"> is </w:t>
      </w:r>
      <w:r w:rsidR="00B22C8A">
        <w:rPr>
          <w:sz w:val="23"/>
          <w:szCs w:val="23"/>
        </w:rPr>
        <w:t>21</w:t>
      </w:r>
      <w:r w:rsidRPr="0048647D">
        <w:rPr>
          <w:sz w:val="23"/>
          <w:szCs w:val="23"/>
        </w:rPr>
        <w:t xml:space="preserve"> contracts and $</w:t>
      </w:r>
      <w:r w:rsidR="00B22C8A">
        <w:rPr>
          <w:sz w:val="23"/>
          <w:szCs w:val="23"/>
        </w:rPr>
        <w:t>4,143,000</w:t>
      </w:r>
      <w:r w:rsidRPr="0048647D">
        <w:rPr>
          <w:sz w:val="23"/>
          <w:szCs w:val="23"/>
        </w:rPr>
        <w:t xml:space="preserve"> in biobased products to be delivered.  </w:t>
      </w:r>
    </w:p>
    <w:p w14:paraId="28B989D7" w14:textId="77777777" w:rsidR="00B84183" w:rsidRPr="0048647D" w:rsidRDefault="00B84183" w:rsidP="00B84183">
      <w:pPr>
        <w:spacing w:after="0"/>
        <w:rPr>
          <w:sz w:val="23"/>
          <w:szCs w:val="23"/>
        </w:rPr>
      </w:pPr>
    </w:p>
    <w:p w14:paraId="70E9D6F1" w14:textId="3F984E18" w:rsidR="00B84183" w:rsidRPr="0048647D" w:rsidRDefault="00B84183" w:rsidP="00B84183">
      <w:pPr>
        <w:spacing w:after="0"/>
        <w:rPr>
          <w:sz w:val="23"/>
          <w:szCs w:val="23"/>
        </w:rPr>
      </w:pPr>
      <w:r w:rsidRPr="0048647D">
        <w:rPr>
          <w:sz w:val="23"/>
          <w:szCs w:val="23"/>
        </w:rPr>
        <w:t>Moving forward, we will continue to hold quarterly sustainable acquisition reviews and semi-annual acquisition management reviews.  We will also ensure that the appropriate Federal Acquisition Regulation (FAR) clauses are included during our regular quarterly contract reviews and biannual acquisition management reviews.  We will continue to report sustainability compliance in the Contractor Performance Assessment Reporting System (CPARS), and will update our CPARS guidance for contracts-related staff to include sustainability compliance as an assessment factor, where applicable.</w:t>
      </w:r>
    </w:p>
    <w:p w14:paraId="55E7D396" w14:textId="77777777" w:rsidR="00B84183" w:rsidRPr="0048647D" w:rsidRDefault="00B84183" w:rsidP="00B84183">
      <w:pPr>
        <w:spacing w:after="0"/>
        <w:rPr>
          <w:sz w:val="23"/>
          <w:szCs w:val="23"/>
        </w:rPr>
      </w:pPr>
    </w:p>
    <w:p w14:paraId="39ACFB08"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 xml:space="preserve">Goal </w:t>
      </w:r>
      <w:r>
        <w:rPr>
          <w:rFonts w:eastAsia="Cambria" w:cs="Times New Roman"/>
          <w:b/>
          <w:color w:val="005A9E"/>
          <w:szCs w:val="24"/>
        </w:rPr>
        <w:t>7</w:t>
      </w:r>
      <w:r w:rsidRPr="00AD3DDE">
        <w:rPr>
          <w:rFonts w:eastAsia="Cambria" w:cs="Times New Roman"/>
          <w:b/>
          <w:color w:val="005A9E"/>
          <w:szCs w:val="24"/>
        </w:rPr>
        <w:t>:  Pollution Prevention &amp; Waste Reduction</w:t>
      </w:r>
    </w:p>
    <w:p w14:paraId="3C273E12" w14:textId="77FCED46" w:rsidR="00B84183" w:rsidRPr="0048647D" w:rsidRDefault="00B22C8A" w:rsidP="00B84183">
      <w:pPr>
        <w:spacing w:after="0"/>
        <w:rPr>
          <w:sz w:val="23"/>
          <w:szCs w:val="23"/>
        </w:rPr>
      </w:pPr>
      <w:r>
        <w:rPr>
          <w:sz w:val="23"/>
          <w:szCs w:val="23"/>
        </w:rPr>
        <w:t>In FY 2016</w:t>
      </w:r>
      <w:r w:rsidR="00B84183" w:rsidRPr="0048647D">
        <w:rPr>
          <w:sz w:val="23"/>
          <w:szCs w:val="23"/>
        </w:rPr>
        <w:t xml:space="preserve">, we </w:t>
      </w:r>
      <w:r w:rsidR="00B84183">
        <w:rPr>
          <w:sz w:val="23"/>
          <w:szCs w:val="23"/>
        </w:rPr>
        <w:t xml:space="preserve">used </w:t>
      </w:r>
      <w:r>
        <w:rPr>
          <w:sz w:val="23"/>
          <w:szCs w:val="23"/>
        </w:rPr>
        <w:t>recycling to divert more than 5</w:t>
      </w:r>
      <w:r w:rsidR="009F0014">
        <w:rPr>
          <w:sz w:val="23"/>
          <w:szCs w:val="23"/>
        </w:rPr>
        <w:t>6</w:t>
      </w:r>
      <w:r w:rsidR="00B84183" w:rsidRPr="0048647D">
        <w:rPr>
          <w:sz w:val="23"/>
          <w:szCs w:val="23"/>
        </w:rPr>
        <w:t xml:space="preserve"> percent of our solid waste </w:t>
      </w:r>
      <w:r w:rsidR="00B84183">
        <w:rPr>
          <w:sz w:val="23"/>
          <w:szCs w:val="23"/>
        </w:rPr>
        <w:t>away from the waste stream,</w:t>
      </w:r>
      <w:r w:rsidR="00B84183" w:rsidRPr="0048647D">
        <w:rPr>
          <w:sz w:val="23"/>
          <w:szCs w:val="23"/>
        </w:rPr>
        <w:t xml:space="preserve"> </w:t>
      </w:r>
      <w:r w:rsidR="00B84183">
        <w:rPr>
          <w:sz w:val="23"/>
          <w:szCs w:val="23"/>
        </w:rPr>
        <w:t>exceeding</w:t>
      </w:r>
      <w:r w:rsidR="00B84183" w:rsidRPr="0048647D">
        <w:rPr>
          <w:sz w:val="23"/>
          <w:szCs w:val="23"/>
        </w:rPr>
        <w:t xml:space="preserve"> the</w:t>
      </w:r>
      <w:r w:rsidR="009F0014">
        <w:rPr>
          <w:sz w:val="23"/>
          <w:szCs w:val="23"/>
        </w:rPr>
        <w:t xml:space="preserve"> goal of 50 percent.  In FY 2016</w:t>
      </w:r>
      <w:r w:rsidR="00B84183" w:rsidRPr="0048647D">
        <w:rPr>
          <w:sz w:val="23"/>
          <w:szCs w:val="23"/>
        </w:rPr>
        <w:t xml:space="preserve">, we </w:t>
      </w:r>
      <w:r w:rsidR="009F0014">
        <w:rPr>
          <w:sz w:val="23"/>
          <w:szCs w:val="23"/>
        </w:rPr>
        <w:t xml:space="preserve">implemented our </w:t>
      </w:r>
      <w:r w:rsidR="00B84183" w:rsidRPr="0048647D">
        <w:rPr>
          <w:sz w:val="23"/>
          <w:szCs w:val="23"/>
        </w:rPr>
        <w:t xml:space="preserve">waste minimization and chemical storage plan </w:t>
      </w:r>
      <w:r w:rsidR="00B84183">
        <w:rPr>
          <w:sz w:val="23"/>
          <w:szCs w:val="23"/>
        </w:rPr>
        <w:t xml:space="preserve">which will work on an ongoing basis </w:t>
      </w:r>
      <w:r w:rsidR="00B84183" w:rsidRPr="0048647D">
        <w:rPr>
          <w:sz w:val="23"/>
          <w:szCs w:val="23"/>
        </w:rPr>
        <w:t xml:space="preserve">to reduce the quantity of chemicals at the main campus.  We will ensure that all new contracts involving </w:t>
      </w:r>
      <w:r w:rsidR="00B84183">
        <w:rPr>
          <w:sz w:val="23"/>
          <w:szCs w:val="23"/>
        </w:rPr>
        <w:t xml:space="preserve">hydrofluorcarbons </w:t>
      </w:r>
      <w:r w:rsidR="00B84183" w:rsidRPr="00395F14">
        <w:rPr>
          <w:sz w:val="23"/>
          <w:szCs w:val="23"/>
        </w:rPr>
        <w:t>(HFCs)</w:t>
      </w:r>
      <w:r w:rsidR="00B84183" w:rsidRPr="0048647D">
        <w:rPr>
          <w:sz w:val="23"/>
          <w:szCs w:val="23"/>
        </w:rPr>
        <w:t xml:space="preserve"> include a requirement for the contractor to </w:t>
      </w:r>
      <w:r w:rsidR="00B84183">
        <w:rPr>
          <w:sz w:val="23"/>
          <w:szCs w:val="23"/>
        </w:rPr>
        <w:t xml:space="preserve">document </w:t>
      </w:r>
      <w:r w:rsidR="00B84183" w:rsidRPr="0048647D">
        <w:rPr>
          <w:sz w:val="23"/>
          <w:szCs w:val="23"/>
        </w:rPr>
        <w:t xml:space="preserve">quantities, and </w:t>
      </w:r>
      <w:r w:rsidR="00B84183">
        <w:rPr>
          <w:sz w:val="23"/>
          <w:szCs w:val="23"/>
        </w:rPr>
        <w:t xml:space="preserve">we train </w:t>
      </w:r>
      <w:r w:rsidR="00B84183" w:rsidRPr="0048647D">
        <w:rPr>
          <w:sz w:val="23"/>
          <w:szCs w:val="23"/>
        </w:rPr>
        <w:t xml:space="preserve">all personnel </w:t>
      </w:r>
      <w:r w:rsidR="00B84183">
        <w:rPr>
          <w:sz w:val="23"/>
          <w:szCs w:val="23"/>
        </w:rPr>
        <w:t>who work with heating, ventilation and cooling (HVAC) equipment o</w:t>
      </w:r>
      <w:r w:rsidR="00B84183" w:rsidRPr="0048647D">
        <w:rPr>
          <w:sz w:val="23"/>
          <w:szCs w:val="23"/>
        </w:rPr>
        <w:t xml:space="preserve">n </w:t>
      </w:r>
      <w:r w:rsidR="00B84183">
        <w:rPr>
          <w:sz w:val="23"/>
          <w:szCs w:val="23"/>
        </w:rPr>
        <w:t xml:space="preserve">the </w:t>
      </w:r>
      <w:r w:rsidR="00B84183" w:rsidRPr="0048647D">
        <w:rPr>
          <w:sz w:val="23"/>
          <w:szCs w:val="23"/>
        </w:rPr>
        <w:t>use of HFC recycling equipment.</w:t>
      </w:r>
    </w:p>
    <w:p w14:paraId="4884FC0D" w14:textId="77777777" w:rsidR="00B84183" w:rsidRPr="0048647D" w:rsidRDefault="00B84183" w:rsidP="00B84183">
      <w:pPr>
        <w:spacing w:after="0"/>
        <w:rPr>
          <w:sz w:val="23"/>
          <w:szCs w:val="23"/>
        </w:rPr>
      </w:pPr>
    </w:p>
    <w:p w14:paraId="30C64B73" w14:textId="77777777" w:rsidR="00B84183" w:rsidRPr="00AD3DDE" w:rsidRDefault="00B84183" w:rsidP="00B84183">
      <w:pPr>
        <w:widowControl w:val="0"/>
        <w:spacing w:after="0"/>
        <w:rPr>
          <w:rFonts w:eastAsia="Cambria" w:cs="Times New Roman"/>
          <w:b/>
          <w:color w:val="005A9E"/>
          <w:szCs w:val="24"/>
        </w:rPr>
      </w:pPr>
      <w:r>
        <w:rPr>
          <w:rFonts w:eastAsia="Cambria" w:cs="Times New Roman"/>
          <w:b/>
          <w:color w:val="005A9E"/>
          <w:szCs w:val="24"/>
        </w:rPr>
        <w:t>Goal 8</w:t>
      </w:r>
      <w:r w:rsidRPr="00AD3DDE">
        <w:rPr>
          <w:rFonts w:eastAsia="Cambria" w:cs="Times New Roman"/>
          <w:b/>
          <w:color w:val="005A9E"/>
          <w:szCs w:val="24"/>
        </w:rPr>
        <w:t>:  Energy Performance Contracts</w:t>
      </w:r>
      <w:r w:rsidRPr="00AD3DDE">
        <w:rPr>
          <w:rFonts w:eastAsia="Cambria" w:cs="Times New Roman"/>
          <w:b/>
          <w:color w:val="005A9E"/>
          <w:szCs w:val="24"/>
        </w:rPr>
        <w:tab/>
      </w:r>
    </w:p>
    <w:p w14:paraId="4249549E" w14:textId="1483E0F0" w:rsidR="00B84183" w:rsidRPr="0048647D" w:rsidRDefault="009F0014" w:rsidP="00B84183">
      <w:pPr>
        <w:spacing w:after="0"/>
        <w:rPr>
          <w:sz w:val="23"/>
          <w:szCs w:val="23"/>
        </w:rPr>
      </w:pPr>
      <w:r>
        <w:rPr>
          <w:sz w:val="23"/>
          <w:szCs w:val="23"/>
        </w:rPr>
        <w:t>We exceeded our commitments made u</w:t>
      </w:r>
      <w:r w:rsidR="00B84183" w:rsidRPr="0048647D">
        <w:rPr>
          <w:sz w:val="23"/>
          <w:szCs w:val="23"/>
        </w:rPr>
        <w:t>nder the President’s Performance Contracting Challeng</w:t>
      </w:r>
      <w:r w:rsidR="00B84183">
        <w:rPr>
          <w:sz w:val="23"/>
          <w:szCs w:val="23"/>
        </w:rPr>
        <w:t>e</w:t>
      </w:r>
      <w:r w:rsidR="00B84183" w:rsidRPr="0048647D">
        <w:rPr>
          <w:sz w:val="23"/>
          <w:szCs w:val="23"/>
        </w:rPr>
        <w:t xml:space="preserve">, </w:t>
      </w:r>
      <w:r>
        <w:rPr>
          <w:sz w:val="23"/>
          <w:szCs w:val="23"/>
        </w:rPr>
        <w:t>awarding $20.4</w:t>
      </w:r>
      <w:r w:rsidR="00B84183" w:rsidRPr="0048647D">
        <w:rPr>
          <w:sz w:val="23"/>
          <w:szCs w:val="23"/>
        </w:rPr>
        <w:t xml:space="preserve"> million in </w:t>
      </w:r>
      <w:r w:rsidR="00B84183">
        <w:rPr>
          <w:sz w:val="23"/>
          <w:szCs w:val="23"/>
        </w:rPr>
        <w:t xml:space="preserve">performance-based </w:t>
      </w:r>
      <w:r w:rsidR="00B84183" w:rsidRPr="0048647D">
        <w:rPr>
          <w:sz w:val="23"/>
          <w:szCs w:val="23"/>
        </w:rPr>
        <w:t xml:space="preserve">contracts by the end of </w:t>
      </w:r>
      <w:r w:rsidR="00B84183">
        <w:rPr>
          <w:sz w:val="23"/>
          <w:szCs w:val="23"/>
        </w:rPr>
        <w:t>calendar year (</w:t>
      </w:r>
      <w:r w:rsidR="00B84183" w:rsidRPr="0048647D">
        <w:rPr>
          <w:sz w:val="23"/>
          <w:szCs w:val="23"/>
        </w:rPr>
        <w:t>CY</w:t>
      </w:r>
      <w:r w:rsidR="00B84183">
        <w:rPr>
          <w:sz w:val="23"/>
          <w:szCs w:val="23"/>
        </w:rPr>
        <w:t>)</w:t>
      </w:r>
      <w:r w:rsidR="0001243E">
        <w:rPr>
          <w:sz w:val="23"/>
          <w:szCs w:val="23"/>
        </w:rPr>
        <w:t xml:space="preserve"> 2016.  Our target</w:t>
      </w:r>
      <w:r>
        <w:rPr>
          <w:sz w:val="23"/>
          <w:szCs w:val="23"/>
        </w:rPr>
        <w:t xml:space="preserve"> for FY 2018</w:t>
      </w:r>
      <w:r w:rsidR="0001243E">
        <w:rPr>
          <w:sz w:val="23"/>
          <w:szCs w:val="23"/>
        </w:rPr>
        <w:t xml:space="preserve"> is $11 million.</w:t>
      </w:r>
      <w:r w:rsidR="00B84183" w:rsidRPr="0048647D">
        <w:rPr>
          <w:sz w:val="23"/>
          <w:szCs w:val="23"/>
        </w:rPr>
        <w:t xml:space="preserve">  We initiated a </w:t>
      </w:r>
      <w:r w:rsidR="002442E9">
        <w:rPr>
          <w:sz w:val="23"/>
          <w:szCs w:val="23"/>
        </w:rPr>
        <w:t>utility energy service contract (</w:t>
      </w:r>
      <w:r>
        <w:rPr>
          <w:sz w:val="23"/>
          <w:szCs w:val="23"/>
        </w:rPr>
        <w:t>UESC</w:t>
      </w:r>
      <w:r w:rsidR="002442E9">
        <w:rPr>
          <w:sz w:val="23"/>
          <w:szCs w:val="23"/>
        </w:rPr>
        <w:t>)</w:t>
      </w:r>
      <w:r w:rsidR="00B84183" w:rsidRPr="0048647D">
        <w:rPr>
          <w:sz w:val="23"/>
          <w:szCs w:val="23"/>
        </w:rPr>
        <w:t xml:space="preserve"> to enhance the efficiency of the </w:t>
      </w:r>
      <w:r>
        <w:rPr>
          <w:sz w:val="23"/>
          <w:szCs w:val="23"/>
        </w:rPr>
        <w:t>HVAC systems</w:t>
      </w:r>
      <w:r w:rsidR="00B84183" w:rsidRPr="0048647D">
        <w:rPr>
          <w:sz w:val="23"/>
          <w:szCs w:val="23"/>
        </w:rPr>
        <w:t xml:space="preserve"> at our </w:t>
      </w:r>
      <w:r>
        <w:rPr>
          <w:sz w:val="23"/>
          <w:szCs w:val="23"/>
        </w:rPr>
        <w:t xml:space="preserve">Frank Hagel Federal Building in Richmond, California. </w:t>
      </w:r>
      <w:r w:rsidR="0001243E">
        <w:rPr>
          <w:sz w:val="23"/>
          <w:szCs w:val="23"/>
        </w:rPr>
        <w:t>We have already satisfied all performance contracting commitments, but</w:t>
      </w:r>
      <w:r w:rsidR="0001243E" w:rsidRPr="0048647D">
        <w:rPr>
          <w:sz w:val="23"/>
          <w:szCs w:val="23"/>
        </w:rPr>
        <w:t xml:space="preserve"> </w:t>
      </w:r>
      <w:r w:rsidR="0001243E">
        <w:rPr>
          <w:sz w:val="23"/>
          <w:szCs w:val="23"/>
        </w:rPr>
        <w:t>w</w:t>
      </w:r>
      <w:r w:rsidR="00B84183" w:rsidRPr="0048647D">
        <w:rPr>
          <w:sz w:val="23"/>
          <w:szCs w:val="23"/>
        </w:rPr>
        <w:t>e wi</w:t>
      </w:r>
      <w:r w:rsidR="00B84183">
        <w:rPr>
          <w:sz w:val="23"/>
          <w:szCs w:val="23"/>
        </w:rPr>
        <w:t>ll continue to use ESPCs</w:t>
      </w:r>
      <w:r w:rsidR="00BC0E0F">
        <w:rPr>
          <w:sz w:val="23"/>
          <w:szCs w:val="23"/>
        </w:rPr>
        <w:t>/UESCs</w:t>
      </w:r>
      <w:r w:rsidR="00B84183">
        <w:rPr>
          <w:sz w:val="23"/>
          <w:szCs w:val="23"/>
        </w:rPr>
        <w:t xml:space="preserve"> to improve</w:t>
      </w:r>
      <w:r w:rsidR="00B84183" w:rsidRPr="0048647D">
        <w:rPr>
          <w:sz w:val="23"/>
          <w:szCs w:val="23"/>
        </w:rPr>
        <w:t xml:space="preserve"> energy </w:t>
      </w:r>
      <w:r w:rsidR="00B84183">
        <w:rPr>
          <w:sz w:val="23"/>
          <w:szCs w:val="23"/>
        </w:rPr>
        <w:t>efficiency</w:t>
      </w:r>
      <w:r w:rsidR="00B84183" w:rsidRPr="0048647D">
        <w:rPr>
          <w:sz w:val="23"/>
          <w:szCs w:val="23"/>
        </w:rPr>
        <w:t xml:space="preserve"> across our delegated facilities, when </w:t>
      </w:r>
      <w:r w:rsidR="00B84183">
        <w:rPr>
          <w:sz w:val="23"/>
          <w:szCs w:val="23"/>
        </w:rPr>
        <w:t>determined to be cost-</w:t>
      </w:r>
      <w:r w:rsidR="00B84183" w:rsidRPr="0048647D">
        <w:rPr>
          <w:sz w:val="23"/>
          <w:szCs w:val="23"/>
        </w:rPr>
        <w:t>effective.</w:t>
      </w:r>
    </w:p>
    <w:p w14:paraId="12400313" w14:textId="77777777" w:rsidR="00B84183" w:rsidRPr="0048647D" w:rsidRDefault="00B84183" w:rsidP="00B84183">
      <w:pPr>
        <w:spacing w:after="0"/>
        <w:rPr>
          <w:sz w:val="23"/>
          <w:szCs w:val="23"/>
        </w:rPr>
      </w:pPr>
    </w:p>
    <w:p w14:paraId="3CC2A2EE" w14:textId="77777777" w:rsidR="00B84183" w:rsidRPr="00AD3DDE"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 xml:space="preserve">Goal </w:t>
      </w:r>
      <w:r>
        <w:rPr>
          <w:rFonts w:eastAsia="Cambria" w:cs="Times New Roman"/>
          <w:b/>
          <w:color w:val="005A9E"/>
          <w:szCs w:val="24"/>
        </w:rPr>
        <w:t>9</w:t>
      </w:r>
      <w:r w:rsidRPr="00AD3DDE">
        <w:rPr>
          <w:rFonts w:eastAsia="Cambria" w:cs="Times New Roman"/>
          <w:b/>
          <w:color w:val="005A9E"/>
          <w:szCs w:val="24"/>
        </w:rPr>
        <w:t>:  Electronic Stewardship</w:t>
      </w:r>
    </w:p>
    <w:p w14:paraId="11F152B0" w14:textId="77777777" w:rsidR="00B84183" w:rsidRDefault="00B84183" w:rsidP="00B84183">
      <w:pPr>
        <w:spacing w:after="0"/>
        <w:rPr>
          <w:color w:val="000000"/>
          <w:sz w:val="23"/>
          <w:szCs w:val="23"/>
        </w:rPr>
      </w:pPr>
      <w:r w:rsidRPr="0048647D">
        <w:rPr>
          <w:sz w:val="23"/>
          <w:szCs w:val="23"/>
        </w:rPr>
        <w:t xml:space="preserve">We scored green in all categories of electronic stewardship, with 100 percent compliance on all required goals.  We </w:t>
      </w:r>
      <w:r>
        <w:rPr>
          <w:sz w:val="23"/>
          <w:szCs w:val="23"/>
        </w:rPr>
        <w:t xml:space="preserve">will continue to ensure that 100 </w:t>
      </w:r>
      <w:r w:rsidRPr="0048647D">
        <w:rPr>
          <w:sz w:val="23"/>
          <w:szCs w:val="23"/>
        </w:rPr>
        <w:t>percent of purchased desktop computers, laptops, and monitors are Energy Star or EPEAT-registered</w:t>
      </w:r>
      <w:r>
        <w:rPr>
          <w:sz w:val="23"/>
          <w:szCs w:val="23"/>
        </w:rPr>
        <w:t>, ensuring</w:t>
      </w:r>
      <w:r w:rsidRPr="0048647D">
        <w:rPr>
          <w:sz w:val="23"/>
          <w:szCs w:val="23"/>
        </w:rPr>
        <w:t xml:space="preserve"> compliance via quarterly compliance reviews.  To ensure our continued use of power management features on all desktop and laptop computers, we will continue to use our comprehensive reporting and auditing compliance system.  We ensure the environmentally sound disposal of all excess or surplus electronic products on an ongoing basis through our poli</w:t>
      </w:r>
      <w:r>
        <w:rPr>
          <w:sz w:val="23"/>
          <w:szCs w:val="23"/>
        </w:rPr>
        <w:t xml:space="preserve">cies and procedures, which </w:t>
      </w:r>
      <w:r w:rsidRPr="0048647D">
        <w:rPr>
          <w:sz w:val="23"/>
          <w:szCs w:val="23"/>
        </w:rPr>
        <w:t xml:space="preserve">allow disposition </w:t>
      </w:r>
      <w:r>
        <w:rPr>
          <w:sz w:val="23"/>
          <w:szCs w:val="23"/>
        </w:rPr>
        <w:t xml:space="preserve">only </w:t>
      </w:r>
      <w:r w:rsidRPr="0048647D">
        <w:rPr>
          <w:sz w:val="23"/>
          <w:szCs w:val="23"/>
        </w:rPr>
        <w:t xml:space="preserve">through GSA Xcess, CFL, Unicor, or a certified recycler.  </w:t>
      </w:r>
      <w:r w:rsidRPr="0048647D">
        <w:rPr>
          <w:color w:val="000000"/>
          <w:sz w:val="23"/>
          <w:szCs w:val="23"/>
        </w:rPr>
        <w:t xml:space="preserve">As the first Federal agency to volunteer for the Better Buildings Challenge of DOE and the White House Council on Environmental Quality (CEQ), we are committed to metering 100 percent of our data centers and ensuring </w:t>
      </w:r>
      <w:r>
        <w:rPr>
          <w:color w:val="000000"/>
          <w:sz w:val="23"/>
          <w:szCs w:val="23"/>
        </w:rPr>
        <w:t xml:space="preserve">that </w:t>
      </w:r>
      <w:r w:rsidRPr="0048647D">
        <w:rPr>
          <w:color w:val="000000"/>
          <w:sz w:val="23"/>
          <w:szCs w:val="23"/>
        </w:rPr>
        <w:t>power usage effectiveness (PUE) is less than 1.4, server utilization and automated monitoring are at least 65 percent, and facility utilization is more than 80 percent.</w:t>
      </w:r>
    </w:p>
    <w:p w14:paraId="71FDF5B0" w14:textId="77777777" w:rsidR="00B84183" w:rsidRPr="0048647D" w:rsidRDefault="00B84183" w:rsidP="00B84183">
      <w:pPr>
        <w:spacing w:after="0"/>
        <w:rPr>
          <w:sz w:val="23"/>
          <w:szCs w:val="23"/>
        </w:rPr>
      </w:pPr>
    </w:p>
    <w:p w14:paraId="36C75347" w14:textId="77777777" w:rsidR="00B84183" w:rsidRDefault="00B84183" w:rsidP="00B84183">
      <w:pPr>
        <w:widowControl w:val="0"/>
        <w:spacing w:after="0"/>
        <w:rPr>
          <w:rFonts w:eastAsia="Cambria" w:cs="Times New Roman"/>
          <w:b/>
          <w:color w:val="005A9E"/>
          <w:szCs w:val="24"/>
        </w:rPr>
      </w:pPr>
      <w:r w:rsidRPr="00AD3DDE">
        <w:rPr>
          <w:rFonts w:eastAsia="Cambria" w:cs="Times New Roman"/>
          <w:b/>
          <w:color w:val="005A9E"/>
          <w:szCs w:val="24"/>
        </w:rPr>
        <w:t xml:space="preserve">Goal </w:t>
      </w:r>
      <w:r>
        <w:rPr>
          <w:rFonts w:eastAsia="Cambria" w:cs="Times New Roman"/>
          <w:b/>
          <w:color w:val="005A9E"/>
          <w:szCs w:val="24"/>
        </w:rPr>
        <w:t>10</w:t>
      </w:r>
      <w:r w:rsidRPr="00AD3DDE">
        <w:rPr>
          <w:rFonts w:eastAsia="Cambria" w:cs="Times New Roman"/>
          <w:b/>
          <w:color w:val="005A9E"/>
          <w:szCs w:val="24"/>
        </w:rPr>
        <w:t>:  Climate Change Resilience</w:t>
      </w:r>
      <w:r w:rsidRPr="00AD3DDE">
        <w:rPr>
          <w:rFonts w:eastAsia="Cambria" w:cs="Times New Roman"/>
          <w:b/>
          <w:color w:val="005A9E"/>
          <w:szCs w:val="24"/>
        </w:rPr>
        <w:tab/>
      </w:r>
    </w:p>
    <w:p w14:paraId="17D2ABD4" w14:textId="7E53D0D3" w:rsidR="00B84183" w:rsidRDefault="00B84183" w:rsidP="00B84183">
      <w:pPr>
        <w:spacing w:after="0"/>
        <w:rPr>
          <w:sz w:val="23"/>
          <w:szCs w:val="23"/>
        </w:rPr>
      </w:pPr>
      <w:r w:rsidRPr="0048647D">
        <w:rPr>
          <w:sz w:val="23"/>
          <w:szCs w:val="23"/>
        </w:rPr>
        <w:t xml:space="preserve">While the scope, severity, and pace of future climate change are difficult to predict, it is clear that potential changes could have </w:t>
      </w:r>
      <w:r w:rsidR="002D57B0">
        <w:rPr>
          <w:sz w:val="23"/>
          <w:szCs w:val="23"/>
        </w:rPr>
        <w:t>an impact</w:t>
      </w:r>
      <w:r w:rsidRPr="0048647D">
        <w:rPr>
          <w:sz w:val="23"/>
          <w:szCs w:val="23"/>
        </w:rPr>
        <w:t xml:space="preserve"> on our operations and programs.  Through climate adaptation planning, we are identifying how climate change is likely to affect our ability to achieve our mission, operate our facilities, and meet our policy and program objectives.  We are working to improve our resiliency by tapping into inter-agency Federal </w:t>
      </w:r>
      <w:r w:rsidR="0073544E">
        <w:rPr>
          <w:sz w:val="23"/>
          <w:szCs w:val="23"/>
        </w:rPr>
        <w:t>G</w:t>
      </w:r>
      <w:r w:rsidRPr="0048647D">
        <w:rPr>
          <w:sz w:val="23"/>
          <w:szCs w:val="23"/>
        </w:rPr>
        <w:t>overnment initiatives to improve the accessibility and coordination of climate change science for decision-making, and we will continue to coordinate with the GSA’s climate change adaptation efforts.  We will build resiliency into our policies and procedures by reviewing, on an ongoing basis, existing emergency contingency plans and workforce protocols and policies, and incorporating climate change considerations into them</w:t>
      </w:r>
      <w:r w:rsidR="002D57B0">
        <w:rPr>
          <w:sz w:val="23"/>
          <w:szCs w:val="23"/>
        </w:rPr>
        <w:t>,</w:t>
      </w:r>
      <w:r w:rsidRPr="0048647D">
        <w:rPr>
          <w:sz w:val="23"/>
          <w:szCs w:val="23"/>
        </w:rPr>
        <w:t xml:space="preserve"> as needed.</w:t>
      </w:r>
    </w:p>
    <w:p w14:paraId="545F6826" w14:textId="29E6A10D" w:rsidR="00BC1F8A" w:rsidRDefault="00BC1F8A" w:rsidP="00B84183">
      <w:pPr>
        <w:spacing w:after="0"/>
        <w:rPr>
          <w:sz w:val="23"/>
          <w:szCs w:val="23"/>
        </w:rPr>
      </w:pPr>
    </w:p>
    <w:p w14:paraId="0FBD30C4" w14:textId="32AC1204" w:rsidR="00BC1F8A" w:rsidRDefault="00BC1F8A" w:rsidP="00444E58">
      <w:pPr>
        <w:widowControl w:val="0"/>
        <w:spacing w:after="0"/>
        <w:rPr>
          <w:rFonts w:ascii="Cambria" w:eastAsia="Cambria" w:hAnsi="Cambria" w:cs="Times New Roman"/>
          <w:b/>
          <w:szCs w:val="24"/>
        </w:rPr>
      </w:pPr>
      <w:r w:rsidRPr="00531838">
        <w:rPr>
          <w:rFonts w:ascii="Cambria" w:eastAsia="Cambria" w:hAnsi="Cambria" w:cs="Times New Roman"/>
          <w:b/>
          <w:szCs w:val="24"/>
        </w:rPr>
        <w:t xml:space="preserve">Narrative for Government-wide and </w:t>
      </w:r>
      <w:r w:rsidR="00444E58" w:rsidRPr="00531838">
        <w:rPr>
          <w:rFonts w:ascii="Cambria" w:eastAsia="Cambria" w:hAnsi="Cambria" w:cs="Times New Roman"/>
          <w:b/>
          <w:szCs w:val="24"/>
        </w:rPr>
        <w:t>C</w:t>
      </w:r>
      <w:r w:rsidRPr="00531838">
        <w:rPr>
          <w:rFonts w:ascii="Cambria" w:eastAsia="Cambria" w:hAnsi="Cambria" w:cs="Times New Roman"/>
          <w:b/>
          <w:szCs w:val="24"/>
        </w:rPr>
        <w:t>ross-agency Initiatives</w:t>
      </w:r>
    </w:p>
    <w:p w14:paraId="0E3C01CB" w14:textId="1ED8E57C" w:rsidR="00531838" w:rsidRPr="007F29A1" w:rsidRDefault="007F29A1" w:rsidP="00444E58">
      <w:pPr>
        <w:widowControl w:val="0"/>
        <w:spacing w:after="0"/>
        <w:rPr>
          <w:sz w:val="23"/>
          <w:szCs w:val="23"/>
        </w:rPr>
      </w:pPr>
      <w:r w:rsidRPr="007F29A1">
        <w:rPr>
          <w:sz w:val="23"/>
          <w:szCs w:val="23"/>
        </w:rPr>
        <w:t xml:space="preserve">SSA has been very successful in implementing performance contacting across its delegated facilities, and our success in the President’s Performance Contracting Challenge is detailed below. SSA coordinates its climate change adaptation planning with Federal government initiatives to ensure its approach is in line with other efforts. </w:t>
      </w:r>
      <w:r>
        <w:rPr>
          <w:sz w:val="23"/>
          <w:szCs w:val="23"/>
        </w:rPr>
        <w:t>To increase the sustainability of our delegated facilities, we coordinate with GSA prior to any new construction or renovations to incorporate green building principles in an effort to make our buildings compliant with the Guiding Principles. SSA also participates in metering studies with GSA to evaluate the energy efficiency opportunities metering may create.</w:t>
      </w:r>
    </w:p>
    <w:p w14:paraId="0816A01D" w14:textId="336C3CFC" w:rsidR="00B84183" w:rsidRDefault="00B84183" w:rsidP="00B84183">
      <w:pPr>
        <w:spacing w:after="0"/>
        <w:rPr>
          <w:sz w:val="23"/>
          <w:szCs w:val="23"/>
        </w:rPr>
      </w:pPr>
    </w:p>
    <w:p w14:paraId="5A6C6B42" w14:textId="77777777" w:rsidR="00444E58" w:rsidRPr="0048647D" w:rsidRDefault="00444E58" w:rsidP="00B84183">
      <w:pPr>
        <w:spacing w:after="0"/>
        <w:rPr>
          <w:sz w:val="23"/>
          <w:szCs w:val="23"/>
        </w:rPr>
      </w:pPr>
    </w:p>
    <w:p w14:paraId="67091F92" w14:textId="77777777" w:rsidR="00B84183" w:rsidRPr="00AD3DDE" w:rsidRDefault="00B84183" w:rsidP="00B84183">
      <w:pPr>
        <w:widowControl w:val="0"/>
        <w:spacing w:after="0"/>
        <w:rPr>
          <w:rFonts w:ascii="Cambria" w:eastAsia="Cambria" w:hAnsi="Cambria" w:cs="Times New Roman"/>
          <w:b/>
          <w:sz w:val="28"/>
          <w:szCs w:val="28"/>
        </w:rPr>
      </w:pPr>
      <w:r w:rsidRPr="00AD3DDE">
        <w:rPr>
          <w:rFonts w:ascii="Cambria" w:eastAsia="Cambria" w:hAnsi="Cambria" w:cs="Times New Roman"/>
          <w:b/>
          <w:sz w:val="28"/>
          <w:szCs w:val="28"/>
        </w:rPr>
        <w:t>Progress on Administration Priorities</w:t>
      </w:r>
    </w:p>
    <w:p w14:paraId="640D163A" w14:textId="77777777" w:rsidR="00B84183" w:rsidRPr="00617B20" w:rsidRDefault="00B84183" w:rsidP="00B84183">
      <w:pPr>
        <w:spacing w:after="0"/>
        <w:rPr>
          <w:rFonts w:asciiTheme="majorHAnsi" w:eastAsia="Cambria" w:hAnsiTheme="majorHAnsi" w:cs="Times New Roman"/>
          <w:b/>
          <w:sz w:val="22"/>
        </w:rPr>
      </w:pPr>
      <w:r w:rsidRPr="00617B20">
        <w:rPr>
          <w:rFonts w:asciiTheme="majorHAnsi" w:eastAsia="Cambria" w:hAnsiTheme="majorHAnsi" w:cs="Times New Roman"/>
          <w:b/>
          <w:sz w:val="22"/>
        </w:rPr>
        <w:t>President's Performance Contracting Challenge</w:t>
      </w:r>
    </w:p>
    <w:p w14:paraId="651AA861" w14:textId="6DF8AA00" w:rsidR="00B84183" w:rsidRPr="0048647D" w:rsidRDefault="00B84183" w:rsidP="00B84183">
      <w:pPr>
        <w:widowControl w:val="0"/>
        <w:spacing w:after="0"/>
        <w:rPr>
          <w:sz w:val="23"/>
          <w:szCs w:val="23"/>
        </w:rPr>
      </w:pPr>
      <w:r w:rsidRPr="0048647D">
        <w:rPr>
          <w:sz w:val="23"/>
          <w:szCs w:val="23"/>
        </w:rPr>
        <w:t>We committed to $20 million in contracts awarded by the end of CY 2016 under the President’s Performance Contracting Challenge.  To date, we have awarded $20.4 m</w:t>
      </w:r>
      <w:r w:rsidR="009F0014">
        <w:rPr>
          <w:sz w:val="23"/>
          <w:szCs w:val="23"/>
        </w:rPr>
        <w:t>illion</w:t>
      </w:r>
      <w:r w:rsidR="0001243E">
        <w:rPr>
          <w:sz w:val="23"/>
          <w:szCs w:val="23"/>
        </w:rPr>
        <w:t>, and our cumulative commitments to</w:t>
      </w:r>
      <w:r w:rsidR="0073544E">
        <w:rPr>
          <w:sz w:val="23"/>
          <w:szCs w:val="23"/>
        </w:rPr>
        <w:t>t</w:t>
      </w:r>
      <w:r w:rsidR="0001243E">
        <w:rPr>
          <w:sz w:val="23"/>
          <w:szCs w:val="23"/>
        </w:rPr>
        <w:t>al $49.2 million</w:t>
      </w:r>
      <w:r w:rsidR="009F0014">
        <w:rPr>
          <w:sz w:val="23"/>
          <w:szCs w:val="23"/>
        </w:rPr>
        <w:t xml:space="preserve">.  Our </w:t>
      </w:r>
      <w:r w:rsidR="0001243E">
        <w:rPr>
          <w:sz w:val="23"/>
          <w:szCs w:val="23"/>
        </w:rPr>
        <w:t>target</w:t>
      </w:r>
      <w:r w:rsidR="009F0014">
        <w:rPr>
          <w:sz w:val="23"/>
          <w:szCs w:val="23"/>
        </w:rPr>
        <w:t xml:space="preserve"> for FY 2018 </w:t>
      </w:r>
      <w:r w:rsidR="0001243E">
        <w:rPr>
          <w:sz w:val="23"/>
          <w:szCs w:val="23"/>
        </w:rPr>
        <w:t>is</w:t>
      </w:r>
      <w:r w:rsidRPr="0048647D">
        <w:rPr>
          <w:sz w:val="23"/>
          <w:szCs w:val="23"/>
        </w:rPr>
        <w:t xml:space="preserve"> $</w:t>
      </w:r>
      <w:r w:rsidR="009F0014">
        <w:rPr>
          <w:sz w:val="23"/>
          <w:szCs w:val="23"/>
        </w:rPr>
        <w:t>11 million</w:t>
      </w:r>
      <w:r w:rsidRPr="0048647D">
        <w:rPr>
          <w:sz w:val="23"/>
          <w:szCs w:val="23"/>
        </w:rPr>
        <w:t xml:space="preserve">.  </w:t>
      </w:r>
      <w:r w:rsidR="00BC1F8A">
        <w:rPr>
          <w:sz w:val="23"/>
          <w:szCs w:val="23"/>
        </w:rPr>
        <w:t xml:space="preserve">We have </w:t>
      </w:r>
      <w:r w:rsidR="00BC1F8A" w:rsidRPr="000A2448">
        <w:t xml:space="preserve">proposed </w:t>
      </w:r>
      <w:r w:rsidR="00BC1F8A">
        <w:t xml:space="preserve">a </w:t>
      </w:r>
      <w:r w:rsidR="00BC1F8A" w:rsidRPr="000A2448">
        <w:t>UESC performance contract (July 2017) in the Frank Hagel Federal Building (FHFB) in Richmond</w:t>
      </w:r>
      <w:r w:rsidR="00BC1F8A">
        <w:t>,</w:t>
      </w:r>
      <w:r w:rsidR="00BC1F8A" w:rsidRPr="000A2448">
        <w:t xml:space="preserve"> California. </w:t>
      </w:r>
      <w:r w:rsidR="002D57B0">
        <w:t xml:space="preserve"> </w:t>
      </w:r>
      <w:r w:rsidR="00BC1F8A" w:rsidRPr="000A2448">
        <w:t xml:space="preserve">This contract includes installing two </w:t>
      </w:r>
      <w:r w:rsidR="00BC1F8A">
        <w:t>e</w:t>
      </w:r>
      <w:r w:rsidR="00BC1F8A" w:rsidRPr="000A2448">
        <w:t xml:space="preserve">nergy </w:t>
      </w:r>
      <w:r w:rsidR="00BC1F8A">
        <w:t>e</w:t>
      </w:r>
      <w:r w:rsidR="00BC1F8A" w:rsidRPr="000A2448">
        <w:t xml:space="preserve">fficient </w:t>
      </w:r>
      <w:r w:rsidR="00BC1F8A">
        <w:t>c</w:t>
      </w:r>
      <w:r w:rsidR="00BC1F8A" w:rsidRPr="000A2448">
        <w:t xml:space="preserve">hillers ($7 million) and ten </w:t>
      </w:r>
      <w:r w:rsidR="00BC1F8A">
        <w:t>e</w:t>
      </w:r>
      <w:r w:rsidR="00BC1F8A" w:rsidRPr="000A2448">
        <w:t xml:space="preserve">nergy </w:t>
      </w:r>
      <w:r w:rsidR="00BC1F8A">
        <w:t>e</w:t>
      </w:r>
      <w:r w:rsidR="00BC1F8A" w:rsidRPr="000A2448">
        <w:t xml:space="preserve">fficient </w:t>
      </w:r>
      <w:r w:rsidR="00BC1F8A">
        <w:t>a</w:t>
      </w:r>
      <w:r w:rsidR="00BC1F8A" w:rsidRPr="000A2448">
        <w:t xml:space="preserve">ir </w:t>
      </w:r>
      <w:r w:rsidR="00BC1F8A">
        <w:t>h</w:t>
      </w:r>
      <w:r w:rsidR="00BC1F8A" w:rsidRPr="000A2448">
        <w:t>andler units ($4 million).</w:t>
      </w:r>
    </w:p>
    <w:p w14:paraId="4ABA6E00" w14:textId="77777777" w:rsidR="00B84183" w:rsidRPr="00E55F92" w:rsidRDefault="00B84183" w:rsidP="00B84183">
      <w:pPr>
        <w:widowControl w:val="0"/>
        <w:spacing w:after="0"/>
        <w:rPr>
          <w:rFonts w:eastAsia="Cambria" w:cs="Times New Roman"/>
          <w:szCs w:val="24"/>
        </w:rPr>
      </w:pPr>
    </w:p>
    <w:p w14:paraId="6D1ACAE4" w14:textId="77777777" w:rsidR="00B84183" w:rsidRPr="00617B20" w:rsidRDefault="00B84183" w:rsidP="00B84183">
      <w:pPr>
        <w:spacing w:after="0"/>
        <w:rPr>
          <w:rFonts w:asciiTheme="majorHAnsi" w:eastAsia="Cambria" w:hAnsiTheme="majorHAnsi" w:cs="Times New Roman"/>
          <w:b/>
          <w:sz w:val="22"/>
        </w:rPr>
      </w:pPr>
      <w:r w:rsidRPr="00293C12">
        <w:rPr>
          <w:rFonts w:asciiTheme="majorHAnsi" w:eastAsia="Cambria" w:hAnsiTheme="majorHAnsi" w:cs="Times New Roman"/>
          <w:b/>
          <w:sz w:val="22"/>
        </w:rPr>
        <w:t>Ele</w:t>
      </w:r>
      <w:r>
        <w:rPr>
          <w:rFonts w:asciiTheme="majorHAnsi" w:eastAsia="Cambria" w:hAnsiTheme="majorHAnsi" w:cs="Times New Roman"/>
          <w:b/>
          <w:sz w:val="22"/>
        </w:rPr>
        <w:t>ctric and Zero Emission Vehicles</w:t>
      </w:r>
    </w:p>
    <w:p w14:paraId="37E68550" w14:textId="091F575D" w:rsidR="00B84183" w:rsidRPr="004520ED" w:rsidRDefault="00B84183" w:rsidP="00B84183">
      <w:pPr>
        <w:widowControl w:val="0"/>
        <w:spacing w:after="0"/>
        <w:rPr>
          <w:rFonts w:eastAsia="Cambria" w:cs="Times New Roman"/>
          <w:sz w:val="23"/>
          <w:szCs w:val="23"/>
          <w:lang w:bidi="en-US"/>
        </w:rPr>
      </w:pPr>
      <w:r w:rsidRPr="004520ED">
        <w:rPr>
          <w:rFonts w:eastAsia="Cambria" w:cs="Times New Roman"/>
          <w:sz w:val="23"/>
          <w:szCs w:val="23"/>
          <w:lang w:bidi="en-US"/>
        </w:rPr>
        <w:t xml:space="preserve">At all of our delegated facilities, we will assess the level of interest in charging stations for employee vehicles, and whether interest is for unmetered level-one charging or faster </w:t>
      </w:r>
      <w:r w:rsidRPr="004520ED">
        <w:rPr>
          <w:rFonts w:cs="Times New Roman"/>
          <w:sz w:val="23"/>
          <w:szCs w:val="23"/>
        </w:rPr>
        <w:t>electric vehicle</w:t>
      </w:r>
      <w:r w:rsidRPr="004520ED">
        <w:rPr>
          <w:rFonts w:eastAsia="Cambria" w:cs="Times New Roman"/>
          <w:sz w:val="23"/>
          <w:szCs w:val="23"/>
          <w:lang w:bidi="en-US"/>
        </w:rPr>
        <w:t xml:space="preserve"> </w:t>
      </w:r>
      <w:r>
        <w:rPr>
          <w:rFonts w:eastAsia="Cambria" w:cs="Times New Roman"/>
          <w:sz w:val="23"/>
          <w:szCs w:val="23"/>
          <w:lang w:bidi="en-US"/>
        </w:rPr>
        <w:t>(</w:t>
      </w:r>
      <w:r w:rsidRPr="004520ED">
        <w:rPr>
          <w:rFonts w:eastAsia="Cambria" w:cs="Times New Roman"/>
          <w:sz w:val="23"/>
          <w:szCs w:val="23"/>
          <w:lang w:bidi="en-US"/>
        </w:rPr>
        <w:t>EV</w:t>
      </w:r>
      <w:r>
        <w:rPr>
          <w:rFonts w:eastAsia="Cambria" w:cs="Times New Roman"/>
          <w:sz w:val="23"/>
          <w:szCs w:val="23"/>
          <w:lang w:bidi="en-US"/>
        </w:rPr>
        <w:t>)</w:t>
      </w:r>
      <w:r w:rsidRPr="004520ED">
        <w:rPr>
          <w:rFonts w:eastAsia="Cambria" w:cs="Times New Roman"/>
          <w:sz w:val="23"/>
          <w:szCs w:val="23"/>
          <w:lang w:bidi="en-US"/>
        </w:rPr>
        <w:t xml:space="preserve"> charging.  We will assess the staffing time required to enforce parking restrictions at the charging stations, and we will determine if the stations will be installed and operated by SSA or an outside contractor.    </w:t>
      </w:r>
    </w:p>
    <w:p w14:paraId="21952AE7" w14:textId="77777777" w:rsidR="00B84183" w:rsidRPr="004520ED" w:rsidRDefault="00B84183" w:rsidP="00B84183">
      <w:pPr>
        <w:widowControl w:val="0"/>
        <w:spacing w:after="0"/>
        <w:rPr>
          <w:rFonts w:eastAsia="Cambria" w:cs="Times New Roman"/>
          <w:sz w:val="23"/>
          <w:szCs w:val="23"/>
          <w:lang w:bidi="en-US"/>
        </w:rPr>
      </w:pPr>
    </w:p>
    <w:p w14:paraId="729B956A" w14:textId="7C5A8605" w:rsidR="00B84183" w:rsidRDefault="00B84183" w:rsidP="00B84183">
      <w:pPr>
        <w:widowControl w:val="0"/>
        <w:spacing w:after="0"/>
        <w:rPr>
          <w:rFonts w:cs="Times New Roman"/>
          <w:sz w:val="23"/>
          <w:szCs w:val="23"/>
        </w:rPr>
      </w:pPr>
      <w:r w:rsidRPr="004520ED">
        <w:rPr>
          <w:rFonts w:cs="Times New Roman"/>
          <w:sz w:val="23"/>
          <w:szCs w:val="23"/>
        </w:rPr>
        <w:t xml:space="preserve">We have some existing charging infrastructure in place and planned.  The HQ campus has two </w:t>
      </w:r>
      <w:r>
        <w:rPr>
          <w:rFonts w:cs="Times New Roman"/>
          <w:sz w:val="23"/>
          <w:szCs w:val="23"/>
        </w:rPr>
        <w:t xml:space="preserve">EV </w:t>
      </w:r>
      <w:r w:rsidRPr="004520ED">
        <w:rPr>
          <w:rFonts w:cs="Times New Roman"/>
          <w:sz w:val="23"/>
          <w:szCs w:val="23"/>
        </w:rPr>
        <w:t xml:space="preserve">charging stations, </w:t>
      </w:r>
      <w:r>
        <w:rPr>
          <w:rFonts w:cs="Times New Roman"/>
          <w:sz w:val="23"/>
          <w:szCs w:val="23"/>
        </w:rPr>
        <w:t xml:space="preserve">however, </w:t>
      </w:r>
      <w:r w:rsidRPr="004520ED">
        <w:rPr>
          <w:rFonts w:cs="Times New Roman"/>
          <w:sz w:val="23"/>
          <w:szCs w:val="23"/>
        </w:rPr>
        <w:t xml:space="preserve">until a policy is in place for employees to use them, they are available only to fleet vehicles at this time.  At our main data center, the National Support Center, the wiring has been completed for charging stations that will allow us to travel in </w:t>
      </w:r>
      <w:r>
        <w:rPr>
          <w:rFonts w:cs="Times New Roman"/>
          <w:sz w:val="23"/>
          <w:szCs w:val="23"/>
        </w:rPr>
        <w:t>EVs</w:t>
      </w:r>
      <w:r w:rsidRPr="004520ED">
        <w:rPr>
          <w:rFonts w:cs="Times New Roman"/>
          <w:sz w:val="23"/>
          <w:szCs w:val="23"/>
        </w:rPr>
        <w:t xml:space="preserve"> from our HQ in Baltimore to the data center, charge the vehicles while doing business, and have </w:t>
      </w:r>
      <w:r w:rsidR="00CB13F2">
        <w:rPr>
          <w:rFonts w:cs="Times New Roman"/>
          <w:sz w:val="23"/>
          <w:szCs w:val="23"/>
        </w:rPr>
        <w:t xml:space="preserve">enough charge to return to HQ. </w:t>
      </w:r>
      <w:r w:rsidRPr="004520ED">
        <w:rPr>
          <w:rFonts w:cs="Times New Roman"/>
          <w:sz w:val="23"/>
          <w:szCs w:val="23"/>
        </w:rPr>
        <w:t>Our</w:t>
      </w:r>
      <w:r>
        <w:rPr>
          <w:rFonts w:cs="Times New Roman"/>
          <w:sz w:val="23"/>
          <w:szCs w:val="23"/>
        </w:rPr>
        <w:t xml:space="preserve"> Frank Hagel Federal Building</w:t>
      </w:r>
      <w:r w:rsidRPr="004520ED">
        <w:rPr>
          <w:rFonts w:cs="Times New Roman"/>
          <w:sz w:val="23"/>
          <w:szCs w:val="23"/>
        </w:rPr>
        <w:t xml:space="preserve"> in </w:t>
      </w:r>
      <w:r>
        <w:rPr>
          <w:rFonts w:cs="Times New Roman"/>
          <w:sz w:val="23"/>
          <w:szCs w:val="23"/>
        </w:rPr>
        <w:t xml:space="preserve">Richmond, </w:t>
      </w:r>
      <w:r w:rsidRPr="004520ED">
        <w:rPr>
          <w:rFonts w:cs="Times New Roman"/>
          <w:sz w:val="23"/>
          <w:szCs w:val="23"/>
        </w:rPr>
        <w:t xml:space="preserve">California has charging stations powered by PV on carports.  </w:t>
      </w:r>
    </w:p>
    <w:p w14:paraId="55BFF7DF" w14:textId="77777777" w:rsidR="00B84183" w:rsidRPr="00A27322" w:rsidRDefault="00B84183" w:rsidP="00B84183">
      <w:pPr>
        <w:widowControl w:val="0"/>
        <w:spacing w:after="0"/>
        <w:rPr>
          <w:rFonts w:eastAsia="Cambria" w:cs="Times New Roman"/>
          <w:sz w:val="21"/>
          <w:szCs w:val="32"/>
        </w:rPr>
      </w:pPr>
    </w:p>
    <w:p w14:paraId="4095034C" w14:textId="0BA45429" w:rsidR="00B84183" w:rsidRPr="00617B20" w:rsidRDefault="00460A6A" w:rsidP="00B84183">
      <w:pPr>
        <w:spacing w:after="0"/>
        <w:rPr>
          <w:rFonts w:asciiTheme="majorHAnsi" w:eastAsia="Cambria" w:hAnsiTheme="majorHAnsi" w:cs="Times New Roman"/>
          <w:b/>
          <w:sz w:val="22"/>
        </w:rPr>
      </w:pPr>
      <w:r>
        <w:rPr>
          <w:rFonts w:asciiTheme="majorHAnsi" w:eastAsia="Cambria" w:hAnsiTheme="majorHAnsi" w:cs="Times New Roman"/>
          <w:b/>
          <w:sz w:val="22"/>
        </w:rPr>
        <w:t>Climate Preparedness and Resilience</w:t>
      </w:r>
    </w:p>
    <w:p w14:paraId="2FAC59EB" w14:textId="64E3AB9B" w:rsidR="00B84183" w:rsidRDefault="00B84183" w:rsidP="00B84183">
      <w:pPr>
        <w:widowControl w:val="0"/>
        <w:spacing w:after="0"/>
        <w:rPr>
          <w:rFonts w:eastAsia="Cambria" w:cs="Times New Roman"/>
          <w:sz w:val="23"/>
          <w:szCs w:val="23"/>
          <w:lang w:bidi="en-US"/>
        </w:rPr>
      </w:pPr>
      <w:r w:rsidRPr="0065147C">
        <w:rPr>
          <w:rFonts w:eastAsia="Cambria" w:cs="Times New Roman"/>
          <w:sz w:val="23"/>
          <w:szCs w:val="23"/>
          <w:lang w:bidi="en-US"/>
        </w:rPr>
        <w:t>To address the potential need to strengthen our programs, policies, and operations for resilience to climate change, in 2014 we conducted a survey of our delegated facilities regarding local weather-related problems facilities have already experienced</w:t>
      </w:r>
      <w:r w:rsidR="006A2DFD">
        <w:rPr>
          <w:rFonts w:eastAsia="Cambria" w:cs="Times New Roman"/>
          <w:sz w:val="23"/>
          <w:szCs w:val="23"/>
          <w:lang w:bidi="en-US"/>
        </w:rPr>
        <w:t>;</w:t>
      </w:r>
      <w:r w:rsidRPr="0065147C">
        <w:rPr>
          <w:rFonts w:eastAsia="Cambria" w:cs="Times New Roman"/>
          <w:sz w:val="23"/>
          <w:szCs w:val="23"/>
          <w:lang w:bidi="en-US"/>
        </w:rPr>
        <w:t xml:space="preserve"> concerns facilities have for the future (including due to climate change)</w:t>
      </w:r>
      <w:r w:rsidR="006A2DFD">
        <w:rPr>
          <w:rFonts w:eastAsia="Cambria" w:cs="Times New Roman"/>
          <w:sz w:val="23"/>
          <w:szCs w:val="23"/>
          <w:lang w:bidi="en-US"/>
        </w:rPr>
        <w:t>;</w:t>
      </w:r>
      <w:r w:rsidRPr="0065147C">
        <w:rPr>
          <w:rFonts w:eastAsia="Cambria" w:cs="Times New Roman"/>
          <w:sz w:val="23"/>
          <w:szCs w:val="23"/>
          <w:lang w:bidi="en-US"/>
        </w:rPr>
        <w:t xml:space="preserve"> and facility contingency planning to address potential hazards.  The responses identified a number of issues, including flooding, wildfire, and power outages.  However, we also determined </w:t>
      </w:r>
      <w:r>
        <w:rPr>
          <w:rFonts w:eastAsia="Cambria" w:cs="Times New Roman"/>
          <w:sz w:val="23"/>
          <w:szCs w:val="23"/>
          <w:lang w:bidi="en-US"/>
        </w:rPr>
        <w:t xml:space="preserve">from the survey </w:t>
      </w:r>
      <w:r w:rsidRPr="0065147C">
        <w:rPr>
          <w:rFonts w:eastAsia="Cambria" w:cs="Times New Roman"/>
          <w:sz w:val="23"/>
          <w:szCs w:val="23"/>
          <w:lang w:bidi="en-US"/>
        </w:rPr>
        <w:t xml:space="preserve">that </w:t>
      </w:r>
      <w:r>
        <w:rPr>
          <w:rFonts w:eastAsia="Cambria" w:cs="Times New Roman"/>
          <w:sz w:val="23"/>
          <w:szCs w:val="23"/>
          <w:lang w:bidi="en-US"/>
        </w:rPr>
        <w:t xml:space="preserve">the </w:t>
      </w:r>
      <w:r w:rsidRPr="0065147C">
        <w:rPr>
          <w:rFonts w:eastAsia="Cambria" w:cs="Times New Roman"/>
          <w:sz w:val="23"/>
          <w:szCs w:val="23"/>
          <w:lang w:bidi="en-US"/>
        </w:rPr>
        <w:t xml:space="preserve">formal contingency processes </w:t>
      </w:r>
      <w:r>
        <w:rPr>
          <w:rFonts w:eastAsia="Cambria" w:cs="Times New Roman"/>
          <w:sz w:val="23"/>
          <w:szCs w:val="23"/>
          <w:lang w:bidi="en-US"/>
        </w:rPr>
        <w:t>in place in these</w:t>
      </w:r>
      <w:r w:rsidRPr="0065147C">
        <w:rPr>
          <w:rFonts w:eastAsia="Cambria" w:cs="Times New Roman"/>
          <w:sz w:val="23"/>
          <w:szCs w:val="23"/>
          <w:lang w:bidi="en-US"/>
        </w:rPr>
        <w:t xml:space="preserve"> facilities </w:t>
      </w:r>
      <w:r>
        <w:rPr>
          <w:rFonts w:eastAsia="Cambria" w:cs="Times New Roman"/>
          <w:sz w:val="23"/>
          <w:szCs w:val="23"/>
          <w:lang w:bidi="en-US"/>
        </w:rPr>
        <w:t>have them</w:t>
      </w:r>
      <w:r w:rsidRPr="0065147C">
        <w:rPr>
          <w:rFonts w:eastAsia="Cambria" w:cs="Times New Roman"/>
          <w:sz w:val="23"/>
          <w:szCs w:val="23"/>
          <w:lang w:bidi="en-US"/>
        </w:rPr>
        <w:t xml:space="preserve"> well prepared for weather-related </w:t>
      </w:r>
      <w:r>
        <w:rPr>
          <w:rFonts w:eastAsia="Cambria" w:cs="Times New Roman"/>
          <w:sz w:val="23"/>
          <w:szCs w:val="23"/>
          <w:lang w:bidi="en-US"/>
        </w:rPr>
        <w:t xml:space="preserve">problems, fire emergencies, and </w:t>
      </w:r>
      <w:r w:rsidRPr="0065147C">
        <w:rPr>
          <w:rFonts w:eastAsia="Cambria" w:cs="Times New Roman"/>
          <w:sz w:val="23"/>
          <w:szCs w:val="23"/>
          <w:lang w:bidi="en-US"/>
        </w:rPr>
        <w:t>disease</w:t>
      </w:r>
      <w:r>
        <w:rPr>
          <w:rFonts w:eastAsia="Cambria" w:cs="Times New Roman"/>
          <w:sz w:val="23"/>
          <w:szCs w:val="23"/>
          <w:lang w:bidi="en-US"/>
        </w:rPr>
        <w:t>s that are</w:t>
      </w:r>
      <w:r w:rsidRPr="00EA4461">
        <w:rPr>
          <w:rFonts w:eastAsia="Cambria" w:cs="Times New Roman"/>
          <w:sz w:val="23"/>
          <w:szCs w:val="23"/>
          <w:lang w:bidi="en-US"/>
        </w:rPr>
        <w:t xml:space="preserve"> </w:t>
      </w:r>
      <w:r w:rsidRPr="0065147C">
        <w:rPr>
          <w:rFonts w:eastAsia="Cambria" w:cs="Times New Roman"/>
          <w:sz w:val="23"/>
          <w:szCs w:val="23"/>
          <w:lang w:bidi="en-US"/>
        </w:rPr>
        <w:t>pandemic</w:t>
      </w:r>
      <w:r>
        <w:rPr>
          <w:rFonts w:eastAsia="Cambria" w:cs="Times New Roman"/>
          <w:sz w:val="23"/>
          <w:szCs w:val="23"/>
          <w:lang w:bidi="en-US"/>
        </w:rPr>
        <w:t xml:space="preserve">, infectious, and/or </w:t>
      </w:r>
      <w:r w:rsidRPr="0065147C">
        <w:rPr>
          <w:rFonts w:eastAsia="Cambria" w:cs="Times New Roman"/>
          <w:sz w:val="23"/>
          <w:szCs w:val="23"/>
          <w:lang w:bidi="en-US"/>
        </w:rPr>
        <w:t>communicable.</w:t>
      </w:r>
      <w:r>
        <w:rPr>
          <w:rFonts w:eastAsia="Cambria" w:cs="Times New Roman"/>
          <w:sz w:val="23"/>
          <w:szCs w:val="23"/>
          <w:lang w:bidi="en-US"/>
        </w:rPr>
        <w:t xml:space="preserve">  To ensure that this continues to be true in the face of climate change, we will review all </w:t>
      </w:r>
      <w:r w:rsidRPr="0065147C">
        <w:rPr>
          <w:rFonts w:eastAsia="Cambria" w:cs="Times New Roman"/>
          <w:sz w:val="23"/>
          <w:szCs w:val="23"/>
          <w:lang w:bidi="en-US"/>
        </w:rPr>
        <w:t xml:space="preserve">contingency plans, such as Continuity of Operations Plans (COOPs), during their regular review cycle to </w:t>
      </w:r>
      <w:r>
        <w:rPr>
          <w:rFonts w:eastAsia="Cambria" w:cs="Times New Roman"/>
          <w:sz w:val="23"/>
          <w:szCs w:val="23"/>
          <w:lang w:bidi="en-US"/>
        </w:rPr>
        <w:t>keep them</w:t>
      </w:r>
      <w:r w:rsidRPr="0065147C">
        <w:rPr>
          <w:rFonts w:eastAsia="Cambria" w:cs="Times New Roman"/>
          <w:sz w:val="23"/>
          <w:szCs w:val="23"/>
          <w:lang w:bidi="en-US"/>
        </w:rPr>
        <w:t xml:space="preserve"> current as changes to the operational environment occur, or are anticipated to occur.  </w:t>
      </w:r>
      <w:r>
        <w:rPr>
          <w:rFonts w:eastAsia="Cambria" w:cs="Times New Roman"/>
          <w:sz w:val="23"/>
          <w:szCs w:val="23"/>
          <w:lang w:bidi="en-US"/>
        </w:rPr>
        <w:t>Examples of adjustments due to climate change</w:t>
      </w:r>
      <w:r w:rsidRPr="0065147C">
        <w:rPr>
          <w:rFonts w:eastAsia="Cambria" w:cs="Times New Roman"/>
          <w:sz w:val="23"/>
          <w:szCs w:val="23"/>
          <w:lang w:bidi="en-US"/>
        </w:rPr>
        <w:t xml:space="preserve"> include </w:t>
      </w:r>
      <w:r>
        <w:rPr>
          <w:rFonts w:eastAsia="Cambria" w:cs="Times New Roman"/>
          <w:sz w:val="23"/>
          <w:szCs w:val="23"/>
          <w:lang w:bidi="en-US"/>
        </w:rPr>
        <w:t>human health and safety impacts</w:t>
      </w:r>
      <w:r w:rsidRPr="0065147C">
        <w:rPr>
          <w:rFonts w:eastAsia="Cambria" w:cs="Times New Roman"/>
          <w:sz w:val="23"/>
          <w:szCs w:val="23"/>
          <w:lang w:bidi="en-US"/>
        </w:rPr>
        <w:t>, such as unsafe air quality, unsafe heat index conditions, dangerous conditions from severe storms, and new disease threats due to an expanded range of vector borne diseases into the U.S.  We have provisions in place to ensure the continuity of web-based services in the event of disr</w:t>
      </w:r>
      <w:r>
        <w:rPr>
          <w:rFonts w:eastAsia="Cambria" w:cs="Times New Roman"/>
          <w:sz w:val="23"/>
          <w:szCs w:val="23"/>
          <w:lang w:bidi="en-US"/>
        </w:rPr>
        <w:t xml:space="preserve">uptions to the electrical grid, which is essential to </w:t>
      </w:r>
      <w:r w:rsidRPr="0065147C">
        <w:rPr>
          <w:rFonts w:eastAsia="Cambria" w:cs="Times New Roman"/>
          <w:sz w:val="23"/>
          <w:szCs w:val="23"/>
          <w:lang w:bidi="en-US"/>
        </w:rPr>
        <w:t xml:space="preserve">make our services available online </w:t>
      </w:r>
      <w:r>
        <w:rPr>
          <w:rFonts w:eastAsia="Cambria" w:cs="Times New Roman"/>
          <w:sz w:val="23"/>
          <w:szCs w:val="23"/>
          <w:lang w:bidi="en-US"/>
        </w:rPr>
        <w:t>for</w:t>
      </w:r>
      <w:r w:rsidRPr="0065147C">
        <w:rPr>
          <w:rFonts w:eastAsia="Cambria" w:cs="Times New Roman"/>
          <w:sz w:val="23"/>
          <w:szCs w:val="23"/>
          <w:lang w:bidi="en-US"/>
        </w:rPr>
        <w:t xml:space="preserve"> customers with mobility or health issues.  </w:t>
      </w:r>
    </w:p>
    <w:p w14:paraId="02026803" w14:textId="77777777" w:rsidR="00B84183" w:rsidRDefault="00B84183" w:rsidP="00B84183">
      <w:pPr>
        <w:widowControl w:val="0"/>
        <w:spacing w:after="0"/>
        <w:rPr>
          <w:rFonts w:eastAsia="Cambria" w:cs="Times New Roman"/>
          <w:sz w:val="23"/>
          <w:szCs w:val="23"/>
          <w:lang w:bidi="en-US"/>
        </w:rPr>
      </w:pPr>
    </w:p>
    <w:p w14:paraId="315CF430" w14:textId="7717B0FD" w:rsidR="00B84183" w:rsidRPr="0065147C" w:rsidRDefault="00B84183" w:rsidP="00B84183">
      <w:pPr>
        <w:widowControl w:val="0"/>
        <w:spacing w:after="0"/>
        <w:rPr>
          <w:rFonts w:eastAsia="Cambria" w:cs="Times New Roman"/>
          <w:sz w:val="23"/>
          <w:szCs w:val="23"/>
          <w:lang w:bidi="en-US"/>
        </w:rPr>
      </w:pPr>
      <w:r>
        <w:rPr>
          <w:color w:val="000000"/>
          <w:sz w:val="23"/>
          <w:szCs w:val="23"/>
        </w:rPr>
        <w:t xml:space="preserve">We will prepare our next Climate Change Adaptation Plan once the next quadrennial National Climate Assessment is issued in 2018 or 2019.  </w:t>
      </w:r>
    </w:p>
    <w:p w14:paraId="561098A6" w14:textId="77777777" w:rsidR="00B84183" w:rsidRPr="0065147C" w:rsidRDefault="00B84183" w:rsidP="00B84183">
      <w:pPr>
        <w:widowControl w:val="0"/>
        <w:spacing w:after="0"/>
        <w:rPr>
          <w:rFonts w:eastAsia="Cambria" w:cs="Times New Roman"/>
          <w:sz w:val="23"/>
          <w:szCs w:val="23"/>
          <w:lang w:bidi="en-US"/>
        </w:rPr>
      </w:pPr>
    </w:p>
    <w:p w14:paraId="2A575C2E" w14:textId="77777777" w:rsidR="00444E58" w:rsidRDefault="00B84183" w:rsidP="00444E58">
      <w:pPr>
        <w:widowControl w:val="0"/>
        <w:spacing w:after="0"/>
        <w:rPr>
          <w:rFonts w:eastAsia="Cambria" w:cs="Times New Roman"/>
          <w:sz w:val="23"/>
          <w:szCs w:val="23"/>
          <w:lang w:bidi="en-US"/>
        </w:rPr>
      </w:pPr>
      <w:r w:rsidRPr="0065147C">
        <w:rPr>
          <w:rFonts w:eastAsia="Cambria" w:cs="Times New Roman"/>
          <w:sz w:val="23"/>
          <w:szCs w:val="23"/>
          <w:lang w:bidi="en-US"/>
        </w:rPr>
        <w:t>The size and scope of our operations are conveyed in Table 1.</w:t>
      </w:r>
      <w:bookmarkStart w:id="9" w:name="_Toc441069281"/>
    </w:p>
    <w:p w14:paraId="105FEC9D" w14:textId="77777777" w:rsidR="00444E58" w:rsidRDefault="00444E58" w:rsidP="00444E58">
      <w:pPr>
        <w:widowControl w:val="0"/>
        <w:spacing w:after="0"/>
        <w:rPr>
          <w:rFonts w:eastAsia="Cambria" w:cs="Times New Roman"/>
          <w:sz w:val="23"/>
          <w:szCs w:val="23"/>
          <w:lang w:bidi="en-US"/>
        </w:rPr>
      </w:pPr>
    </w:p>
    <w:p w14:paraId="0D08D7E1" w14:textId="4853DA4F" w:rsidR="000124A6" w:rsidRDefault="002A5183" w:rsidP="00444E58">
      <w:pPr>
        <w:widowControl w:val="0"/>
        <w:spacing w:after="0"/>
        <w:rPr>
          <w:b/>
          <w:sz w:val="28"/>
          <w:szCs w:val="28"/>
        </w:rPr>
      </w:pPr>
      <w:r w:rsidRPr="0001243E">
        <w:rPr>
          <w:b/>
          <w:sz w:val="28"/>
          <w:szCs w:val="28"/>
        </w:rPr>
        <w:t>Size &amp; Scope of Agency Operation</w:t>
      </w:r>
      <w:bookmarkEnd w:id="8"/>
      <w:r w:rsidR="00C87764" w:rsidRPr="0001243E">
        <w:rPr>
          <w:b/>
          <w:sz w:val="28"/>
          <w:szCs w:val="28"/>
        </w:rPr>
        <w:t>s</w:t>
      </w:r>
      <w:bookmarkEnd w:id="9"/>
    </w:p>
    <w:p w14:paraId="53EAF592" w14:textId="77777777" w:rsidR="0001243E" w:rsidRPr="0001243E" w:rsidRDefault="0001243E" w:rsidP="00444E58">
      <w:pPr>
        <w:widowControl w:val="0"/>
        <w:spacing w:after="0"/>
        <w:rPr>
          <w:b/>
          <w:sz w:val="28"/>
          <w:szCs w:val="28"/>
        </w:rPr>
      </w:pPr>
    </w:p>
    <w:tbl>
      <w:tblPr>
        <w:tblStyle w:val="TableGrid"/>
        <w:tblW w:w="5000" w:type="pct"/>
        <w:tblCellMar>
          <w:left w:w="115" w:type="dxa"/>
          <w:right w:w="115" w:type="dxa"/>
        </w:tblCellMar>
        <w:tblLook w:val="04A0" w:firstRow="1" w:lastRow="0" w:firstColumn="1" w:lastColumn="0" w:noHBand="0" w:noVBand="1"/>
      </w:tblPr>
      <w:tblGrid>
        <w:gridCol w:w="6745"/>
        <w:gridCol w:w="1662"/>
        <w:gridCol w:w="1663"/>
      </w:tblGrid>
      <w:tr w:rsidR="00423DC0" w:rsidRPr="00DF1305" w14:paraId="1CFA0319" w14:textId="0C985CCB" w:rsidTr="00EA758E">
        <w:trPr>
          <w:cantSplit/>
          <w:tblHeader/>
        </w:trPr>
        <w:tc>
          <w:tcPr>
            <w:tcW w:w="6745" w:type="dxa"/>
            <w:shd w:val="clear" w:color="auto" w:fill="D9D9D9" w:themeFill="background1" w:themeFillShade="D9"/>
            <w:vAlign w:val="center"/>
          </w:tcPr>
          <w:p w14:paraId="0BE9ED5C" w14:textId="5F6AA182" w:rsidR="00423DC0" w:rsidRPr="00DF1305" w:rsidRDefault="00423DC0" w:rsidP="00D46334">
            <w:pPr>
              <w:rPr>
                <w:b/>
              </w:rPr>
            </w:pPr>
            <w:r w:rsidRPr="00DF1305">
              <w:rPr>
                <w:b/>
              </w:rPr>
              <w:t>Agency Size and Scope</w:t>
            </w:r>
          </w:p>
        </w:tc>
        <w:tc>
          <w:tcPr>
            <w:tcW w:w="1662" w:type="dxa"/>
            <w:shd w:val="clear" w:color="auto" w:fill="D9D9D9" w:themeFill="background1" w:themeFillShade="D9"/>
            <w:vAlign w:val="center"/>
          </w:tcPr>
          <w:p w14:paraId="2843A748" w14:textId="3DCA0A69" w:rsidR="00423DC0" w:rsidRPr="00DF1305" w:rsidRDefault="004842E5" w:rsidP="007C0A2C">
            <w:pPr>
              <w:rPr>
                <w:b/>
              </w:rPr>
            </w:pPr>
            <w:r w:rsidRPr="00DF1305">
              <w:rPr>
                <w:b/>
              </w:rPr>
              <w:t>FY </w:t>
            </w:r>
            <w:r w:rsidR="007C0A2C" w:rsidRPr="00DF1305">
              <w:rPr>
                <w:b/>
              </w:rPr>
              <w:t>201</w:t>
            </w:r>
            <w:r w:rsidR="007C0A2C">
              <w:rPr>
                <w:b/>
              </w:rPr>
              <w:t>5</w:t>
            </w:r>
          </w:p>
        </w:tc>
        <w:tc>
          <w:tcPr>
            <w:tcW w:w="1663" w:type="dxa"/>
            <w:shd w:val="clear" w:color="auto" w:fill="D9D9D9" w:themeFill="background1" w:themeFillShade="D9"/>
            <w:vAlign w:val="center"/>
          </w:tcPr>
          <w:p w14:paraId="46754C39" w14:textId="55D90EAA" w:rsidR="00423DC0" w:rsidRPr="00DF1305" w:rsidRDefault="004842E5" w:rsidP="007C0A2C">
            <w:pPr>
              <w:rPr>
                <w:b/>
              </w:rPr>
            </w:pPr>
            <w:r w:rsidRPr="00DF1305">
              <w:rPr>
                <w:b/>
              </w:rPr>
              <w:t>FY </w:t>
            </w:r>
            <w:r w:rsidR="007C0A2C" w:rsidRPr="00DF1305">
              <w:rPr>
                <w:b/>
              </w:rPr>
              <w:t>201</w:t>
            </w:r>
            <w:r w:rsidR="007C0A2C">
              <w:rPr>
                <w:b/>
              </w:rPr>
              <w:t>6</w:t>
            </w:r>
          </w:p>
        </w:tc>
      </w:tr>
      <w:tr w:rsidR="00B84183" w:rsidRPr="00423DC0" w14:paraId="3783AFB1" w14:textId="2EA74577" w:rsidTr="00D46334">
        <w:trPr>
          <w:cantSplit/>
        </w:trPr>
        <w:tc>
          <w:tcPr>
            <w:tcW w:w="6745" w:type="dxa"/>
            <w:vAlign w:val="center"/>
          </w:tcPr>
          <w:p w14:paraId="3E558822" w14:textId="4C2C94BD" w:rsidR="00B84183" w:rsidRPr="00423DC0" w:rsidRDefault="00B84183" w:rsidP="00B84183">
            <w:r w:rsidRPr="00423DC0">
              <w:t>Total Number of Employees as Reported in the President's Budget</w:t>
            </w:r>
          </w:p>
        </w:tc>
        <w:tc>
          <w:tcPr>
            <w:tcW w:w="1662" w:type="dxa"/>
            <w:vAlign w:val="center"/>
          </w:tcPr>
          <w:p w14:paraId="72546713" w14:textId="7A6FC58B" w:rsidR="00B84183" w:rsidRPr="00B84183" w:rsidRDefault="00B84183" w:rsidP="00B84183">
            <w:pPr>
              <w:jc w:val="center"/>
              <w:rPr>
                <w:szCs w:val="24"/>
              </w:rPr>
            </w:pPr>
            <w:r w:rsidRPr="00B84183">
              <w:rPr>
                <w:szCs w:val="24"/>
              </w:rPr>
              <w:t>65,852</w:t>
            </w:r>
          </w:p>
        </w:tc>
        <w:tc>
          <w:tcPr>
            <w:tcW w:w="1663" w:type="dxa"/>
            <w:vAlign w:val="center"/>
          </w:tcPr>
          <w:p w14:paraId="2B03453B" w14:textId="6545BA79" w:rsidR="00B84183" w:rsidRPr="00423DC0" w:rsidRDefault="00B84183" w:rsidP="00B84183">
            <w:pPr>
              <w:jc w:val="center"/>
            </w:pPr>
            <w:r>
              <w:t>64,066</w:t>
            </w:r>
          </w:p>
        </w:tc>
      </w:tr>
      <w:tr w:rsidR="00B84183" w:rsidRPr="00423DC0" w14:paraId="05FF7057" w14:textId="4F6D6B98" w:rsidTr="00D46334">
        <w:trPr>
          <w:cantSplit/>
        </w:trPr>
        <w:tc>
          <w:tcPr>
            <w:tcW w:w="6745" w:type="dxa"/>
            <w:vAlign w:val="center"/>
          </w:tcPr>
          <w:p w14:paraId="51F7E92C" w14:textId="1D4FE5E5" w:rsidR="00B84183" w:rsidRPr="00423DC0" w:rsidRDefault="00B84183" w:rsidP="00B84183">
            <w:r w:rsidRPr="00423DC0">
              <w:t>Total Acres of Land Managed</w:t>
            </w:r>
          </w:p>
        </w:tc>
        <w:tc>
          <w:tcPr>
            <w:tcW w:w="1662" w:type="dxa"/>
            <w:vAlign w:val="center"/>
          </w:tcPr>
          <w:p w14:paraId="2EB92EF4" w14:textId="2CFA6E04" w:rsidR="00B84183" w:rsidRPr="00B84183" w:rsidRDefault="00B84183" w:rsidP="00B84183">
            <w:pPr>
              <w:jc w:val="center"/>
              <w:rPr>
                <w:szCs w:val="24"/>
              </w:rPr>
            </w:pPr>
            <w:r w:rsidRPr="00B84183">
              <w:rPr>
                <w:szCs w:val="24"/>
              </w:rPr>
              <w:t>0</w:t>
            </w:r>
          </w:p>
        </w:tc>
        <w:tc>
          <w:tcPr>
            <w:tcW w:w="1663" w:type="dxa"/>
            <w:vAlign w:val="center"/>
          </w:tcPr>
          <w:p w14:paraId="114B04AF" w14:textId="5EB27F88" w:rsidR="00B84183" w:rsidRPr="00423DC0" w:rsidRDefault="00B84183" w:rsidP="00B84183">
            <w:pPr>
              <w:jc w:val="center"/>
            </w:pPr>
            <w:r>
              <w:t>0</w:t>
            </w:r>
          </w:p>
        </w:tc>
      </w:tr>
      <w:tr w:rsidR="00B84183" w:rsidRPr="00423DC0" w14:paraId="6E2A6495" w14:textId="08436B4A" w:rsidTr="00D46334">
        <w:trPr>
          <w:cantSplit/>
        </w:trPr>
        <w:tc>
          <w:tcPr>
            <w:tcW w:w="6745" w:type="dxa"/>
            <w:vAlign w:val="center"/>
          </w:tcPr>
          <w:p w14:paraId="33856703" w14:textId="3E60A7FF" w:rsidR="00B84183" w:rsidRPr="00423DC0" w:rsidRDefault="00B84183" w:rsidP="00B84183">
            <w:pPr>
              <w:rPr>
                <w:sz w:val="14"/>
                <w:szCs w:val="14"/>
              </w:rPr>
            </w:pPr>
            <w:r w:rsidRPr="00423DC0">
              <w:t>Total Number of Buildings Owned</w:t>
            </w:r>
          </w:p>
        </w:tc>
        <w:tc>
          <w:tcPr>
            <w:tcW w:w="1662" w:type="dxa"/>
            <w:vAlign w:val="center"/>
          </w:tcPr>
          <w:p w14:paraId="1FCDBAC7" w14:textId="1E5B677F" w:rsidR="00B84183" w:rsidRPr="00B84183" w:rsidRDefault="00B84183" w:rsidP="00B84183">
            <w:pPr>
              <w:jc w:val="center"/>
              <w:rPr>
                <w:szCs w:val="24"/>
              </w:rPr>
            </w:pPr>
            <w:r w:rsidRPr="00B84183">
              <w:rPr>
                <w:szCs w:val="24"/>
              </w:rPr>
              <w:t>0</w:t>
            </w:r>
          </w:p>
        </w:tc>
        <w:tc>
          <w:tcPr>
            <w:tcW w:w="1663" w:type="dxa"/>
            <w:vAlign w:val="center"/>
          </w:tcPr>
          <w:p w14:paraId="32833238" w14:textId="1FF676CC" w:rsidR="00B84183" w:rsidRPr="00423DC0" w:rsidRDefault="00B84183" w:rsidP="00B84183">
            <w:pPr>
              <w:jc w:val="center"/>
            </w:pPr>
            <w:r>
              <w:t>0</w:t>
            </w:r>
          </w:p>
        </w:tc>
      </w:tr>
      <w:tr w:rsidR="00B84183" w:rsidRPr="00423DC0" w14:paraId="44A59802" w14:textId="3E35B9C5" w:rsidTr="00D46334">
        <w:trPr>
          <w:cantSplit/>
        </w:trPr>
        <w:tc>
          <w:tcPr>
            <w:tcW w:w="6745" w:type="dxa"/>
            <w:vAlign w:val="center"/>
          </w:tcPr>
          <w:p w14:paraId="6B61AAF4" w14:textId="1D77A338" w:rsidR="00B84183" w:rsidRPr="00423DC0" w:rsidRDefault="00B84183" w:rsidP="00B84183">
            <w:r w:rsidRPr="00423DC0">
              <w:t>Total Number of Buildings Leased (GSA and Non-GSA Lease)</w:t>
            </w:r>
          </w:p>
        </w:tc>
        <w:tc>
          <w:tcPr>
            <w:tcW w:w="1662" w:type="dxa"/>
            <w:vAlign w:val="center"/>
          </w:tcPr>
          <w:p w14:paraId="1CE8322D" w14:textId="339E3706" w:rsidR="00B84183" w:rsidRPr="00B84183" w:rsidRDefault="00B84183" w:rsidP="00B84183">
            <w:pPr>
              <w:jc w:val="center"/>
              <w:rPr>
                <w:szCs w:val="24"/>
              </w:rPr>
            </w:pPr>
            <w:r w:rsidRPr="00B84183">
              <w:rPr>
                <w:szCs w:val="24"/>
              </w:rPr>
              <w:t>1,562</w:t>
            </w:r>
          </w:p>
        </w:tc>
        <w:tc>
          <w:tcPr>
            <w:tcW w:w="1663" w:type="dxa"/>
            <w:vAlign w:val="center"/>
          </w:tcPr>
          <w:p w14:paraId="12D9B29B" w14:textId="2F9F7AC9" w:rsidR="00B84183" w:rsidRPr="00423DC0" w:rsidRDefault="00B84183" w:rsidP="00B84183">
            <w:pPr>
              <w:jc w:val="center"/>
            </w:pPr>
            <w:r>
              <w:t>1,558</w:t>
            </w:r>
          </w:p>
        </w:tc>
      </w:tr>
      <w:tr w:rsidR="00B84183" w:rsidRPr="00423DC0" w14:paraId="15199EFB" w14:textId="10FF1243" w:rsidTr="00D46334">
        <w:trPr>
          <w:cantSplit/>
        </w:trPr>
        <w:tc>
          <w:tcPr>
            <w:tcW w:w="6745" w:type="dxa"/>
            <w:vAlign w:val="center"/>
          </w:tcPr>
          <w:p w14:paraId="1FC56B4E" w14:textId="2E249A8D" w:rsidR="00B84183" w:rsidRPr="00423DC0" w:rsidRDefault="00B84183" w:rsidP="00B84183">
            <w:r w:rsidRPr="00423DC0">
              <w:t>Total Building Gross Square Feet (GSF)</w:t>
            </w:r>
          </w:p>
        </w:tc>
        <w:tc>
          <w:tcPr>
            <w:tcW w:w="1662" w:type="dxa"/>
            <w:vAlign w:val="center"/>
          </w:tcPr>
          <w:p w14:paraId="73B25C5C" w14:textId="57B1AA62" w:rsidR="00B84183" w:rsidRPr="00B84183" w:rsidRDefault="00B84183" w:rsidP="00B84183">
            <w:pPr>
              <w:jc w:val="center"/>
              <w:rPr>
                <w:szCs w:val="24"/>
              </w:rPr>
            </w:pPr>
            <w:r w:rsidRPr="00B84183">
              <w:rPr>
                <w:szCs w:val="24"/>
              </w:rPr>
              <w:t>29,498,485</w:t>
            </w:r>
          </w:p>
        </w:tc>
        <w:tc>
          <w:tcPr>
            <w:tcW w:w="1663" w:type="dxa"/>
            <w:vAlign w:val="center"/>
          </w:tcPr>
          <w:p w14:paraId="1C8E2B23" w14:textId="47667AF6" w:rsidR="00B84183" w:rsidRPr="00423DC0" w:rsidRDefault="00B84183" w:rsidP="00B84183">
            <w:pPr>
              <w:jc w:val="center"/>
            </w:pPr>
            <w:r>
              <w:t>29,329,420</w:t>
            </w:r>
          </w:p>
        </w:tc>
      </w:tr>
      <w:tr w:rsidR="00B84183" w:rsidRPr="00423DC0" w14:paraId="3DD95A99" w14:textId="53C1D5A1" w:rsidTr="00D46334">
        <w:trPr>
          <w:cantSplit/>
        </w:trPr>
        <w:tc>
          <w:tcPr>
            <w:tcW w:w="6745" w:type="dxa"/>
            <w:vAlign w:val="center"/>
          </w:tcPr>
          <w:p w14:paraId="12F4BEAE" w14:textId="246C4BDD" w:rsidR="00B84183" w:rsidRPr="00423DC0" w:rsidRDefault="00B84183" w:rsidP="00B84183">
            <w:r w:rsidRPr="00423DC0">
              <w:t>Operates in Number of Locations Throughout U.S.</w:t>
            </w:r>
          </w:p>
        </w:tc>
        <w:tc>
          <w:tcPr>
            <w:tcW w:w="1662" w:type="dxa"/>
            <w:vAlign w:val="center"/>
          </w:tcPr>
          <w:p w14:paraId="5243D53A" w14:textId="55E25D33" w:rsidR="00B84183" w:rsidRPr="00B84183" w:rsidRDefault="00B84183" w:rsidP="00B84183">
            <w:pPr>
              <w:jc w:val="center"/>
              <w:rPr>
                <w:szCs w:val="24"/>
              </w:rPr>
            </w:pPr>
            <w:r w:rsidRPr="00B84183">
              <w:rPr>
                <w:szCs w:val="24"/>
              </w:rPr>
              <w:t>1,562</w:t>
            </w:r>
          </w:p>
        </w:tc>
        <w:tc>
          <w:tcPr>
            <w:tcW w:w="1663" w:type="dxa"/>
            <w:vAlign w:val="center"/>
          </w:tcPr>
          <w:p w14:paraId="0F57FEDF" w14:textId="171B8F54" w:rsidR="00B84183" w:rsidRPr="00423DC0" w:rsidRDefault="00B84183" w:rsidP="00B84183">
            <w:pPr>
              <w:jc w:val="center"/>
            </w:pPr>
            <w:r>
              <w:t>1,537</w:t>
            </w:r>
          </w:p>
        </w:tc>
      </w:tr>
      <w:tr w:rsidR="00B84183" w:rsidRPr="00423DC0" w14:paraId="316E970B" w14:textId="77CA0A65" w:rsidTr="00D46334">
        <w:trPr>
          <w:cantSplit/>
        </w:trPr>
        <w:tc>
          <w:tcPr>
            <w:tcW w:w="6745" w:type="dxa"/>
            <w:vAlign w:val="center"/>
          </w:tcPr>
          <w:p w14:paraId="56757227" w14:textId="4E2D7540" w:rsidR="00B84183" w:rsidRPr="00423DC0" w:rsidRDefault="00B84183" w:rsidP="00B84183">
            <w:r w:rsidRPr="00423DC0">
              <w:t>Operates in Number of Locations Outside of U.S.</w:t>
            </w:r>
          </w:p>
        </w:tc>
        <w:tc>
          <w:tcPr>
            <w:tcW w:w="1662" w:type="dxa"/>
            <w:vAlign w:val="center"/>
          </w:tcPr>
          <w:p w14:paraId="72A92273" w14:textId="681E4112" w:rsidR="00B84183" w:rsidRPr="00B84183" w:rsidRDefault="00B84183" w:rsidP="00B84183">
            <w:pPr>
              <w:jc w:val="center"/>
              <w:rPr>
                <w:szCs w:val="24"/>
              </w:rPr>
            </w:pPr>
            <w:r w:rsidRPr="00B84183">
              <w:rPr>
                <w:szCs w:val="24"/>
              </w:rPr>
              <w:t>0</w:t>
            </w:r>
          </w:p>
        </w:tc>
        <w:tc>
          <w:tcPr>
            <w:tcW w:w="1663" w:type="dxa"/>
            <w:vAlign w:val="center"/>
          </w:tcPr>
          <w:p w14:paraId="5D9B7F46" w14:textId="638344A2" w:rsidR="00B84183" w:rsidRPr="00423DC0" w:rsidRDefault="00B84183" w:rsidP="00B84183">
            <w:pPr>
              <w:jc w:val="center"/>
            </w:pPr>
            <w:r>
              <w:t>0</w:t>
            </w:r>
          </w:p>
        </w:tc>
      </w:tr>
      <w:tr w:rsidR="00B84183" w:rsidRPr="00423DC0" w14:paraId="431DD198" w14:textId="3AAEFA81" w:rsidTr="00D46334">
        <w:trPr>
          <w:cantSplit/>
        </w:trPr>
        <w:tc>
          <w:tcPr>
            <w:tcW w:w="6745" w:type="dxa"/>
            <w:vAlign w:val="center"/>
          </w:tcPr>
          <w:p w14:paraId="7AA54913" w14:textId="4DB99F79" w:rsidR="00B84183" w:rsidRPr="00423DC0" w:rsidRDefault="00B84183" w:rsidP="00B84183">
            <w:r w:rsidRPr="00423DC0">
              <w:t>Total Number of Fleet Vehicles Owned</w:t>
            </w:r>
          </w:p>
        </w:tc>
        <w:tc>
          <w:tcPr>
            <w:tcW w:w="1662" w:type="dxa"/>
            <w:vAlign w:val="center"/>
          </w:tcPr>
          <w:p w14:paraId="31F15411" w14:textId="6BB33DAE" w:rsidR="00B84183" w:rsidRPr="00B84183" w:rsidRDefault="00B84183" w:rsidP="00B84183">
            <w:pPr>
              <w:jc w:val="center"/>
              <w:rPr>
                <w:szCs w:val="24"/>
              </w:rPr>
            </w:pPr>
            <w:r w:rsidRPr="00B84183">
              <w:rPr>
                <w:szCs w:val="24"/>
              </w:rPr>
              <w:t>4</w:t>
            </w:r>
          </w:p>
        </w:tc>
        <w:tc>
          <w:tcPr>
            <w:tcW w:w="1663" w:type="dxa"/>
            <w:vAlign w:val="center"/>
          </w:tcPr>
          <w:p w14:paraId="1232D4E3" w14:textId="63ABBEF0" w:rsidR="00B84183" w:rsidRPr="00423DC0" w:rsidRDefault="00B84183" w:rsidP="00B84183">
            <w:pPr>
              <w:jc w:val="center"/>
            </w:pPr>
            <w:r>
              <w:t>4</w:t>
            </w:r>
          </w:p>
        </w:tc>
      </w:tr>
      <w:tr w:rsidR="00B84183" w:rsidRPr="00423DC0" w14:paraId="6C6BD717" w14:textId="797E3EB5" w:rsidTr="00D46334">
        <w:trPr>
          <w:cantSplit/>
        </w:trPr>
        <w:tc>
          <w:tcPr>
            <w:tcW w:w="6745" w:type="dxa"/>
            <w:vAlign w:val="center"/>
          </w:tcPr>
          <w:p w14:paraId="69FE98D8" w14:textId="65CD008D" w:rsidR="00B84183" w:rsidRPr="00423DC0" w:rsidRDefault="00B84183" w:rsidP="00B84183">
            <w:r w:rsidRPr="00423DC0">
              <w:t>Total Number of Fleet Vehicles Leased</w:t>
            </w:r>
          </w:p>
        </w:tc>
        <w:tc>
          <w:tcPr>
            <w:tcW w:w="1662" w:type="dxa"/>
            <w:vAlign w:val="center"/>
          </w:tcPr>
          <w:p w14:paraId="673A947F" w14:textId="56523CDD" w:rsidR="00B84183" w:rsidRPr="00B84183" w:rsidRDefault="00B84183" w:rsidP="00B84183">
            <w:pPr>
              <w:jc w:val="center"/>
              <w:rPr>
                <w:szCs w:val="24"/>
              </w:rPr>
            </w:pPr>
            <w:r w:rsidRPr="00B84183">
              <w:rPr>
                <w:szCs w:val="24"/>
              </w:rPr>
              <w:t>454</w:t>
            </w:r>
          </w:p>
        </w:tc>
        <w:tc>
          <w:tcPr>
            <w:tcW w:w="1663" w:type="dxa"/>
            <w:vAlign w:val="center"/>
          </w:tcPr>
          <w:p w14:paraId="4D5FB9E8" w14:textId="23B9290A" w:rsidR="00B84183" w:rsidRPr="00423DC0" w:rsidRDefault="00B84183" w:rsidP="00B84183">
            <w:pPr>
              <w:jc w:val="center"/>
            </w:pPr>
            <w:r>
              <w:t>447</w:t>
            </w:r>
          </w:p>
        </w:tc>
      </w:tr>
      <w:tr w:rsidR="00B84183" w:rsidRPr="00423DC0" w14:paraId="2F4032D4" w14:textId="00941B44" w:rsidTr="00D46334">
        <w:trPr>
          <w:cantSplit/>
        </w:trPr>
        <w:tc>
          <w:tcPr>
            <w:tcW w:w="6745" w:type="dxa"/>
            <w:vAlign w:val="center"/>
          </w:tcPr>
          <w:p w14:paraId="00277715" w14:textId="04C7B977" w:rsidR="00B84183" w:rsidRPr="00423DC0" w:rsidRDefault="00B84183" w:rsidP="00B84183">
            <w:r w:rsidRPr="00423DC0">
              <w:t xml:space="preserve">Total Number of Exempted-Fleet Vehicles </w:t>
            </w:r>
            <w:r>
              <w:br/>
            </w:r>
            <w:r w:rsidRPr="00423DC0">
              <w:t>(Tactical, Law Enforcement, Emergency, Etc.)</w:t>
            </w:r>
          </w:p>
        </w:tc>
        <w:tc>
          <w:tcPr>
            <w:tcW w:w="1662" w:type="dxa"/>
            <w:vAlign w:val="center"/>
          </w:tcPr>
          <w:p w14:paraId="05101F7F" w14:textId="2BF5BF7B" w:rsidR="00B84183" w:rsidRPr="00B84183" w:rsidRDefault="00B84183" w:rsidP="00B84183">
            <w:pPr>
              <w:jc w:val="center"/>
              <w:rPr>
                <w:szCs w:val="24"/>
              </w:rPr>
            </w:pPr>
            <w:r w:rsidRPr="00B84183">
              <w:rPr>
                <w:szCs w:val="24"/>
              </w:rPr>
              <w:t>3</w:t>
            </w:r>
          </w:p>
        </w:tc>
        <w:tc>
          <w:tcPr>
            <w:tcW w:w="1663" w:type="dxa"/>
            <w:vAlign w:val="center"/>
          </w:tcPr>
          <w:p w14:paraId="56950DD3" w14:textId="132CAFC5" w:rsidR="00B84183" w:rsidRPr="00423DC0" w:rsidRDefault="00B84183" w:rsidP="00B84183">
            <w:pPr>
              <w:jc w:val="center"/>
            </w:pPr>
            <w:r>
              <w:t>2</w:t>
            </w:r>
          </w:p>
        </w:tc>
      </w:tr>
      <w:tr w:rsidR="00B84183" w:rsidRPr="00423DC0" w14:paraId="05E8C7EB" w14:textId="205B2799" w:rsidTr="00D46334">
        <w:trPr>
          <w:cantSplit/>
          <w:trHeight w:val="512"/>
        </w:trPr>
        <w:tc>
          <w:tcPr>
            <w:tcW w:w="6745" w:type="dxa"/>
            <w:vAlign w:val="center"/>
          </w:tcPr>
          <w:p w14:paraId="4CEAB42D" w14:textId="6D334341" w:rsidR="00B84183" w:rsidRPr="00423DC0" w:rsidRDefault="00B84183" w:rsidP="00B84183">
            <w:r w:rsidRPr="00423DC0">
              <w:t>Total Amount Contracts Awarded as Reported in FPDS</w:t>
            </w:r>
            <w:r>
              <w:t xml:space="preserve"> </w:t>
            </w:r>
            <w:r w:rsidRPr="00423DC0">
              <w:t>($Millions)</w:t>
            </w:r>
          </w:p>
        </w:tc>
        <w:tc>
          <w:tcPr>
            <w:tcW w:w="1662" w:type="dxa"/>
            <w:vAlign w:val="center"/>
          </w:tcPr>
          <w:p w14:paraId="630EEEEC" w14:textId="0DBF9952" w:rsidR="00B84183" w:rsidRPr="00B84183" w:rsidRDefault="00B84183" w:rsidP="00B84183">
            <w:pPr>
              <w:jc w:val="center"/>
              <w:rPr>
                <w:szCs w:val="24"/>
              </w:rPr>
            </w:pPr>
            <w:r w:rsidRPr="00B84183">
              <w:rPr>
                <w:szCs w:val="24"/>
              </w:rPr>
              <w:t>$1,638</w:t>
            </w:r>
          </w:p>
        </w:tc>
        <w:tc>
          <w:tcPr>
            <w:tcW w:w="1663" w:type="dxa"/>
            <w:vAlign w:val="center"/>
          </w:tcPr>
          <w:p w14:paraId="4EF0C600" w14:textId="02171BF5" w:rsidR="00B84183" w:rsidRPr="00423DC0" w:rsidRDefault="00B84183" w:rsidP="00B84183">
            <w:pPr>
              <w:jc w:val="center"/>
            </w:pPr>
            <w:r>
              <w:t>$1,496</w:t>
            </w:r>
          </w:p>
        </w:tc>
      </w:tr>
    </w:tbl>
    <w:p w14:paraId="4ACD93C5" w14:textId="640AEAC7" w:rsidR="00C87764" w:rsidRDefault="00C87764" w:rsidP="00C36C43">
      <w:bookmarkStart w:id="10" w:name="_Toc441046834"/>
    </w:p>
    <w:p w14:paraId="702025BF" w14:textId="11DDB81A" w:rsidR="00C87764" w:rsidRDefault="00C87764">
      <w:pPr>
        <w:widowControl w:val="0"/>
        <w:spacing w:after="200" w:line="276" w:lineRule="auto"/>
      </w:pPr>
      <w:r>
        <w:br w:type="page"/>
      </w:r>
    </w:p>
    <w:p w14:paraId="4E4A34A6" w14:textId="4D924D61" w:rsidR="00D41450" w:rsidRPr="00280EDB" w:rsidRDefault="009D1AB2" w:rsidP="00280EDB">
      <w:pPr>
        <w:pStyle w:val="Heading1"/>
      </w:pPr>
      <w:bookmarkStart w:id="11" w:name="_Toc441069282"/>
      <w:bookmarkStart w:id="12" w:name="_Toc486579595"/>
      <w:r>
        <w:t xml:space="preserve">Agency </w:t>
      </w:r>
      <w:r w:rsidR="009D055F" w:rsidRPr="00280EDB">
        <w:t xml:space="preserve">Progress </w:t>
      </w:r>
      <w:r w:rsidR="00C87764" w:rsidRPr="00280EDB">
        <w:t xml:space="preserve">and Strategies to Meet </w:t>
      </w:r>
      <w:r w:rsidR="003435BF">
        <w:t xml:space="preserve">Federal </w:t>
      </w:r>
      <w:r w:rsidR="00C87764" w:rsidRPr="00280EDB">
        <w:t>Sustainability Goals</w:t>
      </w:r>
      <w:bookmarkEnd w:id="10"/>
      <w:bookmarkEnd w:id="11"/>
      <w:bookmarkEnd w:id="12"/>
    </w:p>
    <w:p w14:paraId="0FD29994" w14:textId="6957C7C2" w:rsidR="004842E5" w:rsidRDefault="00D41450" w:rsidP="00C36C43">
      <w:r w:rsidRPr="00174DC2">
        <w:t xml:space="preserve">This </w:t>
      </w:r>
      <w:r w:rsidR="00BE4A93">
        <w:t>s</w:t>
      </w:r>
      <w:r w:rsidRPr="00174DC2">
        <w:t>ection provides an ove</w:t>
      </w:r>
      <w:r w:rsidR="00C87764">
        <w:t xml:space="preserve">rview of </w:t>
      </w:r>
      <w:r w:rsidR="00C7204C">
        <w:t xml:space="preserve">progress through FY </w:t>
      </w:r>
      <w:r w:rsidR="00957A55">
        <w:t xml:space="preserve">2016 </w:t>
      </w:r>
      <w:r w:rsidR="00485580">
        <w:t xml:space="preserve">as reported by agencies through the OMB Scorecard process </w:t>
      </w:r>
      <w:r w:rsidR="00C87764">
        <w:t>on</w:t>
      </w:r>
      <w:r w:rsidRPr="00174DC2">
        <w:t xml:space="preserve"> sustainability</w:t>
      </w:r>
      <w:r w:rsidR="00485580">
        <w:t>/energy</w:t>
      </w:r>
      <w:r w:rsidR="002E2CB8">
        <w:t xml:space="preserve"> </w:t>
      </w:r>
      <w:r w:rsidRPr="00174DC2">
        <w:t xml:space="preserve">goals </w:t>
      </w:r>
      <w:r w:rsidR="00C87764">
        <w:t>and agency strategies</w:t>
      </w:r>
      <w:r w:rsidR="00485580">
        <w:t xml:space="preserve"> to implement </w:t>
      </w:r>
      <w:r w:rsidR="00C7204C">
        <w:t>Executive Order</w:t>
      </w:r>
      <w:r w:rsidR="00C87764">
        <w:t xml:space="preserve"> 13693, </w:t>
      </w:r>
      <w:r w:rsidR="00C87764" w:rsidRPr="00C7204C">
        <w:rPr>
          <w:i/>
        </w:rPr>
        <w:t>Planning for Federal Sustainability in the Next Decade</w:t>
      </w:r>
      <w:r w:rsidR="00C7204C" w:rsidRPr="00C7204C">
        <w:t>.</w:t>
      </w:r>
    </w:p>
    <w:p w14:paraId="6DFE42C1" w14:textId="3DBD347D" w:rsidR="00A823A5" w:rsidRPr="00A823A5" w:rsidRDefault="00756CD5" w:rsidP="00C72E17">
      <w:pPr>
        <w:pStyle w:val="Heading2"/>
      </w:pPr>
      <w:bookmarkStart w:id="13" w:name="_Toc441046835"/>
      <w:bookmarkStart w:id="14" w:name="_Toc441069283"/>
      <w:bookmarkStart w:id="15" w:name="_Toc486579596"/>
      <w:r w:rsidRPr="00C7204C">
        <w:t>Goal 1: Greenhouse Gas (GHG) Reduction</w:t>
      </w:r>
      <w:bookmarkEnd w:id="13"/>
      <w:bookmarkEnd w:id="14"/>
      <w:bookmarkEnd w:id="15"/>
    </w:p>
    <w:p w14:paraId="30C7CD98" w14:textId="61E63040" w:rsidR="00105789" w:rsidRPr="002E3028" w:rsidRDefault="00105789" w:rsidP="00C7204C">
      <w:pPr>
        <w:pStyle w:val="Heading3"/>
      </w:pPr>
      <w:bookmarkStart w:id="16" w:name="_Toc441046836"/>
      <w:bookmarkStart w:id="17" w:name="_Toc441069284"/>
      <w:bookmarkStart w:id="18" w:name="_Toc444272884"/>
      <w:r w:rsidRPr="002E3028">
        <w:t xml:space="preserve">Scope 1 &amp; 2 GHG </w:t>
      </w:r>
      <w:r w:rsidR="003435BF">
        <w:t>Reduction</w:t>
      </w:r>
      <w:bookmarkEnd w:id="16"/>
      <w:bookmarkEnd w:id="17"/>
      <w:r w:rsidR="00EE4C25">
        <w:t xml:space="preserve"> Goal</w:t>
      </w:r>
      <w:bookmarkEnd w:id="18"/>
    </w:p>
    <w:p w14:paraId="7C271DF3" w14:textId="7AB6A25B" w:rsidR="00105789" w:rsidRDefault="00105789" w:rsidP="00280EDB">
      <w:pPr>
        <w:rPr>
          <w:color w:val="FF0000"/>
        </w:rPr>
      </w:pPr>
      <w:r w:rsidRPr="00174DC2">
        <w:t xml:space="preserve">E.O. </w:t>
      </w:r>
      <w:r w:rsidR="00C7204C">
        <w:t>13693</w:t>
      </w:r>
      <w:r w:rsidR="008F0869">
        <w:t xml:space="preserve"> requires</w:t>
      </w:r>
      <w:r w:rsidRPr="00174DC2">
        <w:t xml:space="preserve"> each agency </w:t>
      </w:r>
      <w:r w:rsidR="00C7204C">
        <w:t xml:space="preserve">to </w:t>
      </w:r>
      <w:r w:rsidRPr="00174DC2">
        <w:t>establish a Scope 1 &amp; 2 GHG emission</w:t>
      </w:r>
      <w:r w:rsidR="00C7204C">
        <w:t>s</w:t>
      </w:r>
      <w:r w:rsidRPr="00174DC2">
        <w:t xml:space="preserve"> reduction target to be achieved by </w:t>
      </w:r>
      <w:r w:rsidR="004842E5">
        <w:t>FY </w:t>
      </w:r>
      <w:r w:rsidRPr="00174DC2">
        <w:t>202</w:t>
      </w:r>
      <w:r w:rsidR="00C7204C">
        <w:t xml:space="preserve">5 compared to a 2008 </w:t>
      </w:r>
      <w:r w:rsidR="00C7204C" w:rsidRPr="00FE34F7">
        <w:t xml:space="preserve">baseline. </w:t>
      </w:r>
      <w:r w:rsidR="00B84183" w:rsidRPr="00FE34F7">
        <w:t>The Social Security Administration</w:t>
      </w:r>
      <w:r w:rsidR="00E408D1" w:rsidRPr="00FE34F7">
        <w:t>’</w:t>
      </w:r>
      <w:r w:rsidR="00C7204C" w:rsidRPr="00FE34F7">
        <w:t xml:space="preserve">s </w:t>
      </w:r>
      <w:r w:rsidR="00C7204C">
        <w:t xml:space="preserve">2025 Scope 1 &amp; 2 GHG reduction target is </w:t>
      </w:r>
      <w:r w:rsidR="00B84183">
        <w:t>5</w:t>
      </w:r>
      <w:r w:rsidR="00B84183" w:rsidRPr="00FE34F7">
        <w:t>5%</w:t>
      </w:r>
      <w:r w:rsidR="00C7204C" w:rsidRPr="00FE34F7">
        <w:t xml:space="preserve">. </w:t>
      </w:r>
      <w:r w:rsidR="005F3521" w:rsidRPr="00FE34F7">
        <w:t xml:space="preserve">  </w:t>
      </w:r>
    </w:p>
    <w:p w14:paraId="58770025" w14:textId="41CB31F7" w:rsidR="00D46334" w:rsidRPr="002E3028" w:rsidRDefault="00EF0BA3" w:rsidP="00D46334">
      <w:pPr>
        <w:pStyle w:val="Heading3"/>
      </w:pPr>
      <w:bookmarkStart w:id="19" w:name="_Toc444272885"/>
      <w:r>
        <w:t>Chart</w:t>
      </w:r>
      <w:r w:rsidR="0020540D">
        <w:t>: Progress To</w:t>
      </w:r>
      <w:r w:rsidR="00D46334">
        <w:t>ward Scope</w:t>
      </w:r>
      <w:r w:rsidR="00D46334" w:rsidRPr="002E3028">
        <w:t xml:space="preserve"> 1 &amp; 2 GHG </w:t>
      </w:r>
      <w:r w:rsidR="00D46334">
        <w:t>Reduction Goal</w:t>
      </w:r>
      <w:bookmarkEnd w:id="19"/>
    </w:p>
    <w:p w14:paraId="292F802E" w14:textId="7537F07C" w:rsidR="004842E5" w:rsidRDefault="00B84183" w:rsidP="001F60F5">
      <w:pPr>
        <w:jc w:val="center"/>
      </w:pPr>
      <w:r>
        <w:rPr>
          <w:noProof/>
        </w:rPr>
        <w:drawing>
          <wp:inline distT="0" distB="0" distL="0" distR="0" wp14:anchorId="7E11CAA4" wp14:editId="0B97F0B0">
            <wp:extent cx="5943600" cy="4735195"/>
            <wp:effectExtent l="0" t="0" r="0" b="825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735195"/>
                    </a:xfrm>
                    <a:prstGeom prst="rect">
                      <a:avLst/>
                    </a:prstGeom>
                  </pic:spPr>
                </pic:pic>
              </a:graphicData>
            </a:graphic>
          </wp:inline>
        </w:drawing>
      </w:r>
    </w:p>
    <w:p w14:paraId="09E08DC7" w14:textId="571D95F5" w:rsidR="00203C80" w:rsidRPr="00200DCB" w:rsidRDefault="006825EE" w:rsidP="00203C80">
      <w:pPr>
        <w:spacing w:after="160" w:line="259" w:lineRule="auto"/>
        <w:rPr>
          <w:rFonts w:cs="Times New Roman"/>
          <w:szCs w:val="24"/>
        </w:rPr>
      </w:pPr>
      <w:bookmarkStart w:id="20" w:name="_Toc441046837"/>
      <w:r w:rsidRPr="00F50712">
        <w:rPr>
          <w:color w:val="FF0000"/>
        </w:rPr>
        <w:t>SSA is</w:t>
      </w:r>
      <w:r w:rsidR="00200DCB" w:rsidRPr="00F50712">
        <w:rPr>
          <w:color w:val="FF0000"/>
        </w:rPr>
        <w:t xml:space="preserve"> proud to have received all green scores for the 2016 Scorecard, and</w:t>
      </w:r>
      <w:r w:rsidR="00EE5F47" w:rsidRPr="00F50712">
        <w:rPr>
          <w:color w:val="FF0000"/>
        </w:rPr>
        <w:t xml:space="preserve"> we are on track to meet the 55 percent</w:t>
      </w:r>
      <w:r w:rsidR="00200DCB" w:rsidRPr="00F50712">
        <w:rPr>
          <w:color w:val="FF0000"/>
        </w:rPr>
        <w:t xml:space="preserve"> energy reduction by 2025. </w:t>
      </w:r>
      <w:r w:rsidR="00EE5F47" w:rsidRPr="00F50712">
        <w:rPr>
          <w:color w:val="FF0000"/>
        </w:rPr>
        <w:t xml:space="preserve">We reduced Scope 1 &amp; 2 emissions by 50.6 percent. </w:t>
      </w:r>
      <w:r w:rsidR="00200DCB" w:rsidRPr="00F50712">
        <w:rPr>
          <w:color w:val="FF0000"/>
        </w:rPr>
        <w:t>We will continue implementing improvements to our facilities and fleet</w:t>
      </w:r>
      <w:r w:rsidR="006A2DFD">
        <w:rPr>
          <w:color w:val="FF0000"/>
        </w:rPr>
        <w:t>,</w:t>
      </w:r>
      <w:r w:rsidR="00200DCB" w:rsidRPr="00F50712">
        <w:rPr>
          <w:color w:val="FF0000"/>
        </w:rPr>
        <w:t xml:space="preserve"> while increasing the renewable energy to achieve our goal of reducing Scope 1 and 2 emissions by 55 percent by FY 2025.</w:t>
      </w:r>
      <w:r w:rsidR="00203C80" w:rsidRPr="00200DCB">
        <w:rPr>
          <w:rFonts w:cs="Times New Roman"/>
          <w:szCs w:val="24"/>
        </w:rPr>
        <w:t xml:space="preserve">  </w:t>
      </w:r>
    </w:p>
    <w:p w14:paraId="330931B1" w14:textId="5DA78F55" w:rsidR="00EE4C25" w:rsidRPr="002E2CB8" w:rsidRDefault="00EE4C25" w:rsidP="00EE4C25">
      <w:pPr>
        <w:pStyle w:val="Heading3"/>
        <w:rPr>
          <w:b w:val="0"/>
          <w:i/>
        </w:rPr>
      </w:pPr>
      <w:bookmarkStart w:id="21" w:name="_Toc444272886"/>
      <w:r>
        <w:t xml:space="preserve">Scope 1 </w:t>
      </w:r>
      <w:r w:rsidR="0020540D">
        <w:t xml:space="preserve">&amp; 2 </w:t>
      </w:r>
      <w:r>
        <w:t>GHG Reduction Strategies</w:t>
      </w:r>
      <w:bookmarkEnd w:id="21"/>
      <w:r w:rsidR="00965D14">
        <w:t xml:space="preserve"> for Fiscal Year 2018</w:t>
      </w:r>
      <w:r w:rsidR="00B32BCC">
        <w:t xml:space="preserve"> </w:t>
      </w:r>
      <w:bookmarkStart w:id="22" w:name="OLE_LINK1"/>
      <w:bookmarkStart w:id="23" w:name="OLE_LINK2"/>
    </w:p>
    <w:tbl>
      <w:tblPr>
        <w:tblW w:w="4958" w:type="pct"/>
        <w:tblLayout w:type="fixed"/>
        <w:tblCellMar>
          <w:left w:w="0" w:type="dxa"/>
          <w:right w:w="0" w:type="dxa"/>
        </w:tblCellMar>
        <w:tblLook w:val="01E0" w:firstRow="1" w:lastRow="1" w:firstColumn="1" w:lastColumn="1" w:noHBand="0" w:noVBand="0"/>
      </w:tblPr>
      <w:tblGrid>
        <w:gridCol w:w="3055"/>
        <w:gridCol w:w="4320"/>
        <w:gridCol w:w="2610"/>
      </w:tblGrid>
      <w:tr w:rsidR="002E2CB8" w:rsidRPr="00EB49B5" w14:paraId="3ABF09FC" w14:textId="77777777" w:rsidTr="006825EE">
        <w:trPr>
          <w:cantSplit/>
          <w:trHeight w:val="593"/>
          <w:tblHeader/>
        </w:trPr>
        <w:tc>
          <w:tcPr>
            <w:tcW w:w="3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bookmarkEnd w:id="22"/>
          <w:bookmarkEnd w:id="23"/>
          <w:p w14:paraId="6C22C4BE" w14:textId="77777777" w:rsidR="002E2CB8" w:rsidRPr="00EB49B5" w:rsidRDefault="002E2CB8" w:rsidP="002E256D">
            <w:pPr>
              <w:pStyle w:val="Table"/>
              <w:jc w:val="center"/>
              <w:rPr>
                <w:b/>
              </w:rPr>
            </w:pPr>
            <w:r w:rsidRPr="00EB49B5">
              <w:rPr>
                <w:b/>
              </w:rPr>
              <w:t>Strategy</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58E49C" w14:textId="77777777" w:rsidR="002E2CB8" w:rsidRPr="00EB49B5" w:rsidRDefault="002E2CB8" w:rsidP="002E256D">
            <w:pPr>
              <w:pStyle w:val="Table"/>
              <w:jc w:val="center"/>
              <w:rPr>
                <w:b/>
              </w:rPr>
            </w:pPr>
            <w:r>
              <w:rPr>
                <w:b/>
              </w:rPr>
              <w:t>Strategy Narrative</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4720B7" w14:textId="77777777" w:rsidR="002E2CB8" w:rsidRPr="00EB49B5" w:rsidRDefault="002E2CB8" w:rsidP="002E256D">
            <w:pPr>
              <w:pStyle w:val="Table"/>
              <w:jc w:val="center"/>
              <w:rPr>
                <w:b/>
              </w:rPr>
            </w:pPr>
            <w:r>
              <w:rPr>
                <w:b/>
              </w:rPr>
              <w:t>Targets and Metrics</w:t>
            </w:r>
          </w:p>
        </w:tc>
      </w:tr>
      <w:tr w:rsidR="00200DCB" w:rsidRPr="00174DC2" w14:paraId="3AB7FAB5" w14:textId="77777777" w:rsidTr="006825EE">
        <w:trPr>
          <w:cantSplit/>
        </w:trPr>
        <w:tc>
          <w:tcPr>
            <w:tcW w:w="3055" w:type="dxa"/>
            <w:tcBorders>
              <w:top w:val="single" w:sz="4" w:space="0" w:color="000000"/>
              <w:left w:val="single" w:sz="4" w:space="0" w:color="000000"/>
              <w:bottom w:val="single" w:sz="4" w:space="0" w:color="000000"/>
              <w:right w:val="single" w:sz="4" w:space="0" w:color="000000"/>
            </w:tcBorders>
          </w:tcPr>
          <w:p w14:paraId="5ECC4FA5" w14:textId="4EC484CC" w:rsidR="00200DCB" w:rsidRPr="00174DC2" w:rsidRDefault="00200DCB" w:rsidP="00200DCB">
            <w:pPr>
              <w:pStyle w:val="Table"/>
            </w:pPr>
            <w:r>
              <w:t>Use the Federal Energy Management Program (FEMP) GHG emission report to identify/</w:t>
            </w:r>
            <w:r w:rsidRPr="00174DC2">
              <w:t xml:space="preserve">target high emission categories and implement specific actions to </w:t>
            </w:r>
            <w:r>
              <w:t>address</w:t>
            </w:r>
            <w:r w:rsidRPr="00174DC2">
              <w:t xml:space="preserve"> high emission areas identified.</w:t>
            </w:r>
          </w:p>
        </w:tc>
        <w:tc>
          <w:tcPr>
            <w:tcW w:w="4320" w:type="dxa"/>
            <w:tcBorders>
              <w:top w:val="single" w:sz="4" w:space="0" w:color="000000"/>
              <w:left w:val="single" w:sz="4" w:space="0" w:color="000000"/>
              <w:bottom w:val="single" w:sz="4" w:space="0" w:color="000000"/>
              <w:right w:val="single" w:sz="4" w:space="0" w:color="000000"/>
            </w:tcBorders>
          </w:tcPr>
          <w:p w14:paraId="42FE25B5" w14:textId="68594FC5" w:rsidR="00200DCB" w:rsidRPr="006F131A" w:rsidRDefault="00200DCB" w:rsidP="00200DCB">
            <w:pPr>
              <w:pStyle w:val="Table"/>
            </w:pPr>
            <w:r w:rsidRPr="006F131A">
              <w:t>Our GHG inventory tells us that purchased electricity and on-site combustion make up 95 percent of our Scopes 1 and 2 GHG emissions, so energy efficiency is our top priority for reducing these emissions.  We rely on energy assessments to inform our decisions on strategies to reduce energy consumption.</w:t>
            </w:r>
          </w:p>
        </w:tc>
        <w:tc>
          <w:tcPr>
            <w:tcW w:w="2610" w:type="dxa"/>
            <w:tcBorders>
              <w:top w:val="single" w:sz="4" w:space="0" w:color="000000"/>
              <w:left w:val="single" w:sz="4" w:space="0" w:color="000000"/>
              <w:bottom w:val="single" w:sz="4" w:space="0" w:color="000000"/>
              <w:right w:val="single" w:sz="4" w:space="0" w:color="000000"/>
            </w:tcBorders>
          </w:tcPr>
          <w:p w14:paraId="2AF9582A" w14:textId="54A70966" w:rsidR="00200DCB" w:rsidRPr="006F131A" w:rsidRDefault="00200DCB" w:rsidP="00200DCB">
            <w:pPr>
              <w:pStyle w:val="Table"/>
            </w:pPr>
            <w:r w:rsidRPr="006F131A">
              <w:t>Energy intensity reduced 7.5 percent in FY 2018 from the FY 2015 baseline.</w:t>
            </w:r>
          </w:p>
        </w:tc>
      </w:tr>
      <w:tr w:rsidR="00200DCB" w:rsidRPr="00174DC2" w14:paraId="128D5F46" w14:textId="77777777" w:rsidTr="006825EE">
        <w:trPr>
          <w:cantSplit/>
        </w:trPr>
        <w:tc>
          <w:tcPr>
            <w:tcW w:w="3055" w:type="dxa"/>
            <w:tcBorders>
              <w:top w:val="single" w:sz="4" w:space="0" w:color="000000"/>
              <w:left w:val="single" w:sz="4" w:space="0" w:color="000000"/>
              <w:right w:val="single" w:sz="4" w:space="0" w:color="000000"/>
            </w:tcBorders>
          </w:tcPr>
          <w:p w14:paraId="5B3AA8CA" w14:textId="1D7388C8" w:rsidR="00200DCB" w:rsidRPr="00174DC2" w:rsidRDefault="00200DCB" w:rsidP="00200DCB">
            <w:pPr>
              <w:pStyle w:val="Table"/>
            </w:pPr>
            <w:r w:rsidRPr="00174DC2">
              <w:t>Ident</w:t>
            </w:r>
            <w:r>
              <w:t xml:space="preserve">ify </w:t>
            </w:r>
            <w:r w:rsidRPr="00174DC2">
              <w:t xml:space="preserve">and support management practices or training programs that </w:t>
            </w:r>
            <w:r>
              <w:t>encourage employee engagement in addressing GHG reduction</w:t>
            </w:r>
            <w:r w:rsidRPr="00174DC2">
              <w:t>.</w:t>
            </w:r>
          </w:p>
        </w:tc>
        <w:tc>
          <w:tcPr>
            <w:tcW w:w="4320" w:type="dxa"/>
            <w:tcBorders>
              <w:top w:val="single" w:sz="4" w:space="0" w:color="000000"/>
              <w:left w:val="single" w:sz="4" w:space="0" w:color="000000"/>
              <w:right w:val="single" w:sz="4" w:space="0" w:color="000000"/>
            </w:tcBorders>
          </w:tcPr>
          <w:p w14:paraId="2A8323F2" w14:textId="12F8F460" w:rsidR="00200DCB" w:rsidRPr="006F131A" w:rsidRDefault="00200DCB" w:rsidP="00200DCB">
            <w:pPr>
              <w:pStyle w:val="Table"/>
            </w:pPr>
            <w:r w:rsidRPr="006F131A">
              <w:t>We will research and attend webinar training sessions to encourage employee engagement and further reduce our GHG emissions. Offsite training, such as attendance at Energy Exchange, is restricted due to budgetary reasons.</w:t>
            </w:r>
          </w:p>
        </w:tc>
        <w:tc>
          <w:tcPr>
            <w:tcW w:w="2610" w:type="dxa"/>
            <w:tcBorders>
              <w:top w:val="single" w:sz="4" w:space="0" w:color="000000"/>
              <w:left w:val="single" w:sz="4" w:space="0" w:color="000000"/>
              <w:right w:val="single" w:sz="4" w:space="0" w:color="000000"/>
            </w:tcBorders>
          </w:tcPr>
          <w:p w14:paraId="0406C3AC" w14:textId="110EA8B9" w:rsidR="00200DCB" w:rsidRPr="006F131A" w:rsidRDefault="00200DCB" w:rsidP="00200DCB">
            <w:pPr>
              <w:pStyle w:val="Table"/>
            </w:pPr>
            <w:r w:rsidRPr="006F131A">
              <w:t>Energy intensity reduced 7.5 percent in FY 2018 from the FY 2015 baseline.</w:t>
            </w:r>
          </w:p>
        </w:tc>
      </w:tr>
      <w:tr w:rsidR="00200DCB" w:rsidRPr="00174DC2" w14:paraId="64246D0A" w14:textId="77777777" w:rsidTr="006825EE">
        <w:trPr>
          <w:cantSplit/>
        </w:trPr>
        <w:tc>
          <w:tcPr>
            <w:tcW w:w="3055" w:type="dxa"/>
            <w:tcBorders>
              <w:top w:val="single" w:sz="4" w:space="0" w:color="000000"/>
              <w:left w:val="single" w:sz="4" w:space="0" w:color="000000"/>
              <w:bottom w:val="single" w:sz="4" w:space="0" w:color="000000"/>
              <w:right w:val="single" w:sz="4" w:space="0" w:color="000000"/>
            </w:tcBorders>
          </w:tcPr>
          <w:p w14:paraId="1B5E304C" w14:textId="3807BA6D" w:rsidR="00200DCB" w:rsidRPr="00174DC2" w:rsidRDefault="00200DCB" w:rsidP="00200DCB">
            <w:pPr>
              <w:pStyle w:val="Table"/>
            </w:pPr>
            <w:r w:rsidRPr="00174DC2">
              <w:t xml:space="preserve">Employ operations and management </w:t>
            </w:r>
            <w:r>
              <w:t xml:space="preserve">(O&amp;M) </w:t>
            </w:r>
            <w:r w:rsidRPr="00174DC2">
              <w:t xml:space="preserve">best practices for emission generating </w:t>
            </w:r>
            <w:r>
              <w:t xml:space="preserve">and energy consuming </w:t>
            </w:r>
            <w:r w:rsidRPr="00174DC2">
              <w:t>equipment.</w:t>
            </w:r>
          </w:p>
        </w:tc>
        <w:tc>
          <w:tcPr>
            <w:tcW w:w="4320" w:type="dxa"/>
            <w:tcBorders>
              <w:top w:val="single" w:sz="4" w:space="0" w:color="000000"/>
              <w:left w:val="single" w:sz="4" w:space="0" w:color="000000"/>
              <w:bottom w:val="single" w:sz="4" w:space="0" w:color="000000"/>
              <w:right w:val="single" w:sz="4" w:space="0" w:color="000000"/>
            </w:tcBorders>
          </w:tcPr>
          <w:p w14:paraId="5E479586" w14:textId="00574EE0" w:rsidR="00200DCB" w:rsidRPr="006F131A" w:rsidRDefault="00200DCB" w:rsidP="00200DCB">
            <w:pPr>
              <w:pStyle w:val="Table"/>
            </w:pPr>
            <w:r w:rsidRPr="006F131A">
              <w:t>We intend to perform additional re-commissioning in delegated buildings.</w:t>
            </w:r>
          </w:p>
        </w:tc>
        <w:tc>
          <w:tcPr>
            <w:tcW w:w="2610" w:type="dxa"/>
            <w:tcBorders>
              <w:top w:val="single" w:sz="4" w:space="0" w:color="000000"/>
              <w:left w:val="single" w:sz="4" w:space="0" w:color="000000"/>
              <w:bottom w:val="single" w:sz="4" w:space="0" w:color="000000"/>
              <w:right w:val="single" w:sz="4" w:space="0" w:color="000000"/>
            </w:tcBorders>
          </w:tcPr>
          <w:p w14:paraId="7B4012F6" w14:textId="7E0D8C74" w:rsidR="00200DCB" w:rsidRPr="006F131A" w:rsidRDefault="00200DCB" w:rsidP="00200DCB">
            <w:pPr>
              <w:pStyle w:val="Table"/>
            </w:pPr>
            <w:r w:rsidRPr="006F131A">
              <w:t>Energy intensity reduced 7.5 percent in FY 2018 from the FY 2015 baseline.</w:t>
            </w:r>
          </w:p>
        </w:tc>
      </w:tr>
      <w:tr w:rsidR="00200DCB" w:rsidRPr="00174DC2" w14:paraId="63CBC36D" w14:textId="77777777" w:rsidTr="006825EE">
        <w:trPr>
          <w:cantSplit/>
        </w:trPr>
        <w:tc>
          <w:tcPr>
            <w:tcW w:w="3055" w:type="dxa"/>
            <w:tcBorders>
              <w:top w:val="single" w:sz="4" w:space="0" w:color="000000"/>
              <w:left w:val="single" w:sz="4" w:space="0" w:color="000000"/>
              <w:bottom w:val="single" w:sz="4" w:space="0" w:color="000000"/>
              <w:right w:val="single" w:sz="4" w:space="0" w:color="000000"/>
            </w:tcBorders>
          </w:tcPr>
          <w:p w14:paraId="35EF30BC" w14:textId="68FC5342" w:rsidR="00200DCB" w:rsidRPr="00174DC2" w:rsidRDefault="00200DCB" w:rsidP="00200DCB">
            <w:pPr>
              <w:pStyle w:val="Table"/>
            </w:pPr>
            <w:r w:rsidRPr="00174DC2">
              <w:t>Ident</w:t>
            </w:r>
            <w:r>
              <w:t xml:space="preserve">ify </w:t>
            </w:r>
            <w:r w:rsidRPr="00174DC2">
              <w:t>a</w:t>
            </w:r>
            <w:r>
              <w:t xml:space="preserve">dditional </w:t>
            </w:r>
            <w:r w:rsidRPr="00174DC2">
              <w:t xml:space="preserve">sources of data </w:t>
            </w:r>
            <w:r>
              <w:t xml:space="preserve">or </w:t>
            </w:r>
            <w:r w:rsidRPr="00174DC2">
              <w:t xml:space="preserve">analysis with the potential to support </w:t>
            </w:r>
            <w:r>
              <w:t xml:space="preserve">GHG reduction goals.  </w:t>
            </w:r>
          </w:p>
        </w:tc>
        <w:tc>
          <w:tcPr>
            <w:tcW w:w="4320" w:type="dxa"/>
            <w:tcBorders>
              <w:top w:val="single" w:sz="4" w:space="0" w:color="000000"/>
              <w:left w:val="single" w:sz="4" w:space="0" w:color="000000"/>
              <w:bottom w:val="single" w:sz="4" w:space="0" w:color="000000"/>
              <w:right w:val="single" w:sz="4" w:space="0" w:color="000000"/>
            </w:tcBorders>
          </w:tcPr>
          <w:p w14:paraId="4B9ED67A" w14:textId="24BA3764" w:rsidR="00200DCB" w:rsidRPr="006F131A" w:rsidRDefault="00200DCB" w:rsidP="00200DCB">
            <w:pPr>
              <w:pStyle w:val="Table"/>
            </w:pPr>
            <w:r w:rsidRPr="006F131A">
              <w:t>We will continue to add smart meters to identify areas where we can reduce our energy and water usage, and we are performing additional studies on smart metering to help us identify the best areas to install additional smart meters.</w:t>
            </w:r>
          </w:p>
        </w:tc>
        <w:tc>
          <w:tcPr>
            <w:tcW w:w="2610" w:type="dxa"/>
            <w:tcBorders>
              <w:top w:val="single" w:sz="4" w:space="0" w:color="000000"/>
              <w:left w:val="single" w:sz="4" w:space="0" w:color="000000"/>
              <w:bottom w:val="single" w:sz="4" w:space="0" w:color="000000"/>
              <w:right w:val="single" w:sz="4" w:space="0" w:color="000000"/>
            </w:tcBorders>
          </w:tcPr>
          <w:p w14:paraId="2796EB40" w14:textId="182A6BA8" w:rsidR="00200DCB" w:rsidRPr="006F131A" w:rsidRDefault="00200DCB" w:rsidP="00200DCB">
            <w:pPr>
              <w:pStyle w:val="Table"/>
            </w:pPr>
            <w:r w:rsidRPr="006F131A">
              <w:t>Energy intensity reduced 7.5 percent in FY 2018 from the FY 2015 baseline.</w:t>
            </w:r>
          </w:p>
        </w:tc>
      </w:tr>
    </w:tbl>
    <w:p w14:paraId="02C43187" w14:textId="77777777" w:rsidR="00EE4C25" w:rsidRPr="00EE4C25" w:rsidRDefault="00EE4C25" w:rsidP="00280EDB"/>
    <w:p w14:paraId="1E5530EA" w14:textId="6910FF7A" w:rsidR="00105789" w:rsidRPr="00174DC2" w:rsidRDefault="00105789" w:rsidP="00C7204C">
      <w:pPr>
        <w:pStyle w:val="Heading3"/>
      </w:pPr>
      <w:bookmarkStart w:id="24" w:name="_Toc441069285"/>
      <w:bookmarkStart w:id="25" w:name="_Toc444272887"/>
      <w:r w:rsidRPr="00174DC2">
        <w:t xml:space="preserve">Scope 3 GHG </w:t>
      </w:r>
      <w:bookmarkEnd w:id="20"/>
      <w:bookmarkEnd w:id="24"/>
      <w:r w:rsidR="003435BF">
        <w:t>Reduction</w:t>
      </w:r>
      <w:r w:rsidR="00EE4C25">
        <w:t xml:space="preserve"> Goal</w:t>
      </w:r>
      <w:bookmarkEnd w:id="25"/>
    </w:p>
    <w:p w14:paraId="5E6A44AF" w14:textId="33534539" w:rsidR="0020540D" w:rsidRDefault="00105789" w:rsidP="00280EDB">
      <w:pPr>
        <w:rPr>
          <w:color w:val="FF0000"/>
        </w:rPr>
      </w:pPr>
      <w:r w:rsidRPr="00174DC2">
        <w:t>E.O. 13</w:t>
      </w:r>
      <w:r w:rsidR="00C7204C">
        <w:t>693</w:t>
      </w:r>
      <w:r w:rsidR="008F0869">
        <w:t xml:space="preserve"> requires</w:t>
      </w:r>
      <w:r w:rsidRPr="00174DC2">
        <w:t xml:space="preserve"> each agency </w:t>
      </w:r>
      <w:r w:rsidR="00C7204C">
        <w:t xml:space="preserve">to </w:t>
      </w:r>
      <w:r w:rsidRPr="00200DCB">
        <w:t xml:space="preserve">establish a Scope 3 GHG emission reduction target to be achieved by </w:t>
      </w:r>
      <w:r w:rsidR="004842E5" w:rsidRPr="00200DCB">
        <w:t>FY </w:t>
      </w:r>
      <w:r w:rsidRPr="00200DCB">
        <w:t>20</w:t>
      </w:r>
      <w:r w:rsidR="00C7204C" w:rsidRPr="00200DCB">
        <w:t xml:space="preserve">25 compared to a 2008 baseline. </w:t>
      </w:r>
      <w:r w:rsidR="00200DCB" w:rsidRPr="00200DCB">
        <w:t>SSA</w:t>
      </w:r>
      <w:r w:rsidR="00E408D1" w:rsidRPr="00200DCB">
        <w:t>’</w:t>
      </w:r>
      <w:r w:rsidR="00C7204C" w:rsidRPr="00200DCB">
        <w:t xml:space="preserve">s 2025 Scope 3 GHG reduction target is </w:t>
      </w:r>
      <w:r w:rsidR="00200DCB" w:rsidRPr="00200DCB">
        <w:t>33 percent</w:t>
      </w:r>
      <w:r w:rsidR="00C7204C" w:rsidRPr="00200DCB">
        <w:t xml:space="preserve">. </w:t>
      </w:r>
    </w:p>
    <w:p w14:paraId="1BDA2499" w14:textId="44A3E92E" w:rsidR="0020540D" w:rsidRPr="002E3028" w:rsidRDefault="00EF0BA3" w:rsidP="0020540D">
      <w:pPr>
        <w:pStyle w:val="Heading3"/>
      </w:pPr>
      <w:bookmarkStart w:id="26" w:name="_Toc444272623"/>
      <w:bookmarkStart w:id="27" w:name="_Toc444272888"/>
      <w:r>
        <w:t>Chart</w:t>
      </w:r>
      <w:r w:rsidR="0020540D">
        <w:t xml:space="preserve">: </w:t>
      </w:r>
      <w:r>
        <w:t xml:space="preserve">Progress Toward </w:t>
      </w:r>
      <w:r w:rsidR="0020540D">
        <w:t>Scope</w:t>
      </w:r>
      <w:r w:rsidR="0020540D" w:rsidRPr="002E3028">
        <w:t xml:space="preserve"> </w:t>
      </w:r>
      <w:r w:rsidR="0020540D">
        <w:t>3</w:t>
      </w:r>
      <w:r w:rsidR="0020540D" w:rsidRPr="002E3028">
        <w:t xml:space="preserve"> GHG </w:t>
      </w:r>
      <w:r>
        <w:t>Reduction Goal</w:t>
      </w:r>
      <w:bookmarkEnd w:id="26"/>
      <w:bookmarkEnd w:id="27"/>
    </w:p>
    <w:p w14:paraId="49DDFDA7" w14:textId="157B4EE4" w:rsidR="009C6E65" w:rsidRDefault="00200DCB" w:rsidP="001F60F5">
      <w:pPr>
        <w:jc w:val="center"/>
        <w:rPr>
          <w:highlight w:val="yellow"/>
        </w:rPr>
      </w:pPr>
      <w:r>
        <w:rPr>
          <w:noProof/>
        </w:rPr>
        <w:drawing>
          <wp:inline distT="0" distB="0" distL="0" distR="0" wp14:anchorId="368E3847" wp14:editId="0911BF28">
            <wp:extent cx="5943600" cy="47351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735195"/>
                    </a:xfrm>
                    <a:prstGeom prst="rect">
                      <a:avLst/>
                    </a:prstGeom>
                  </pic:spPr>
                </pic:pic>
              </a:graphicData>
            </a:graphic>
          </wp:inline>
        </w:drawing>
      </w:r>
    </w:p>
    <w:p w14:paraId="49945FD7" w14:textId="613BD0EC" w:rsidR="00203C80" w:rsidRPr="00F50712" w:rsidRDefault="00EF0165" w:rsidP="00203C80">
      <w:pPr>
        <w:spacing w:after="160" w:line="259" w:lineRule="auto"/>
        <w:rPr>
          <w:rFonts w:cs="Times New Roman"/>
          <w:color w:val="FF0000"/>
          <w:szCs w:val="24"/>
        </w:rPr>
      </w:pPr>
      <w:bookmarkStart w:id="28" w:name="_Toc441046838"/>
      <w:r w:rsidRPr="00F50712">
        <w:rPr>
          <w:color w:val="FF0000"/>
        </w:rPr>
        <w:t xml:space="preserve">SSA’s Scope 3 emissions continued their downward trend, thanks to reduced commuting and increases in telework. </w:t>
      </w:r>
      <w:r w:rsidR="006A2DFD">
        <w:rPr>
          <w:color w:val="FF0000"/>
        </w:rPr>
        <w:t xml:space="preserve"> </w:t>
      </w:r>
      <w:r w:rsidR="00FE34F7" w:rsidRPr="00F50712">
        <w:rPr>
          <w:color w:val="FF0000"/>
        </w:rPr>
        <w:t>SSA will continue its effo</w:t>
      </w:r>
      <w:r w:rsidR="006825EE" w:rsidRPr="00F50712">
        <w:rPr>
          <w:color w:val="FF0000"/>
        </w:rPr>
        <w:t>rts to reduce Scope 3 emissions through the strategies outlined below.</w:t>
      </w:r>
      <w:r w:rsidRPr="00F50712">
        <w:rPr>
          <w:color w:val="FF0000"/>
        </w:rPr>
        <w:t xml:space="preserve"> </w:t>
      </w:r>
    </w:p>
    <w:p w14:paraId="4F447F40" w14:textId="541CA900" w:rsidR="00C7204C" w:rsidRPr="002E2CB8" w:rsidRDefault="00EE4C25" w:rsidP="00E408D1">
      <w:pPr>
        <w:pStyle w:val="Heading3"/>
        <w:rPr>
          <w:b w:val="0"/>
          <w:i/>
        </w:rPr>
      </w:pPr>
      <w:bookmarkStart w:id="29" w:name="_Toc444272889"/>
      <w:r>
        <w:t>Scope 3 GHG Reduction Strategies</w:t>
      </w:r>
      <w:bookmarkEnd w:id="29"/>
      <w:r w:rsidR="00965D14">
        <w:t xml:space="preserve"> for Fiscal Year 2018</w:t>
      </w:r>
      <w:r w:rsidR="00270F11">
        <w:t xml:space="preserve"> </w:t>
      </w:r>
    </w:p>
    <w:tbl>
      <w:tblPr>
        <w:tblW w:w="4958" w:type="pct"/>
        <w:tblLayout w:type="fixed"/>
        <w:tblCellMar>
          <w:left w:w="0" w:type="dxa"/>
          <w:right w:w="0" w:type="dxa"/>
        </w:tblCellMar>
        <w:tblLook w:val="01E0" w:firstRow="1" w:lastRow="1" w:firstColumn="1" w:lastColumn="1" w:noHBand="0" w:noVBand="0"/>
      </w:tblPr>
      <w:tblGrid>
        <w:gridCol w:w="2875"/>
        <w:gridCol w:w="4410"/>
        <w:gridCol w:w="2700"/>
      </w:tblGrid>
      <w:tr w:rsidR="002E2CB8" w:rsidRPr="00EB49B5" w14:paraId="1B26E1A7" w14:textId="77777777" w:rsidTr="006825EE">
        <w:trPr>
          <w:cantSplit/>
          <w:trHeight w:val="593"/>
          <w:tblHeader/>
        </w:trPr>
        <w:tc>
          <w:tcPr>
            <w:tcW w:w="2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D4BFB9" w14:textId="77777777" w:rsidR="002E2CB8" w:rsidRPr="00EB49B5" w:rsidRDefault="002E2CB8" w:rsidP="002E256D">
            <w:pPr>
              <w:pStyle w:val="Table"/>
              <w:jc w:val="center"/>
              <w:rPr>
                <w:b/>
              </w:rPr>
            </w:pPr>
            <w:r w:rsidRPr="00EB49B5">
              <w:rPr>
                <w:b/>
              </w:rPr>
              <w:t>Strategy</w:t>
            </w: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ABAA13" w14:textId="77777777" w:rsidR="002E2CB8" w:rsidRPr="00EB49B5" w:rsidRDefault="002E2CB8" w:rsidP="002E256D">
            <w:pPr>
              <w:pStyle w:val="Table"/>
              <w:jc w:val="center"/>
              <w:rPr>
                <w:b/>
              </w:rPr>
            </w:pPr>
            <w:r>
              <w:rPr>
                <w:b/>
              </w:rPr>
              <w:t>Strategy Narrative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85737" w14:textId="77777777" w:rsidR="002E2CB8" w:rsidRPr="00EB49B5" w:rsidRDefault="002E2CB8" w:rsidP="002E256D">
            <w:pPr>
              <w:pStyle w:val="Table"/>
              <w:jc w:val="center"/>
              <w:rPr>
                <w:b/>
              </w:rPr>
            </w:pPr>
            <w:r>
              <w:rPr>
                <w:b/>
              </w:rPr>
              <w:t>Targets and Metrics</w:t>
            </w:r>
          </w:p>
        </w:tc>
      </w:tr>
      <w:tr w:rsidR="00200DCB" w:rsidRPr="00174DC2" w14:paraId="7DAD0A89" w14:textId="77777777" w:rsidTr="0001243E">
        <w:trPr>
          <w:cantSplit/>
        </w:trPr>
        <w:tc>
          <w:tcPr>
            <w:tcW w:w="2875" w:type="dxa"/>
            <w:tcBorders>
              <w:top w:val="single" w:sz="4" w:space="0" w:color="000000"/>
              <w:left w:val="single" w:sz="4" w:space="0" w:color="000000"/>
              <w:bottom w:val="single" w:sz="4" w:space="0" w:color="000000"/>
              <w:right w:val="single" w:sz="4" w:space="0" w:color="000000"/>
            </w:tcBorders>
            <w:shd w:val="clear" w:color="auto" w:fill="auto"/>
          </w:tcPr>
          <w:p w14:paraId="12AB3D35" w14:textId="7F6D46FB" w:rsidR="00200DCB" w:rsidRPr="00174DC2" w:rsidRDefault="00200DCB" w:rsidP="0001243E">
            <w:pPr>
              <w:pStyle w:val="Table"/>
            </w:pPr>
            <w:r w:rsidRPr="000974AD">
              <w:t xml:space="preserve">Develop and deploy </w:t>
            </w:r>
            <w:r>
              <w:t xml:space="preserve">an </w:t>
            </w:r>
            <w:r w:rsidRPr="000974AD">
              <w:t xml:space="preserve">employee commuter </w:t>
            </w:r>
            <w:r>
              <w:t xml:space="preserve">emissions </w:t>
            </w:r>
            <w:r w:rsidRPr="000974AD">
              <w:t>reduction plan.</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1C453089" w14:textId="4800F68C" w:rsidR="00200DCB" w:rsidRPr="006F131A" w:rsidRDefault="00200DCB" w:rsidP="0001243E">
            <w:pPr>
              <w:pStyle w:val="Table"/>
            </w:pPr>
            <w:r w:rsidRPr="006F131A">
              <w:rPr>
                <w:rFonts w:eastAsia="Calibri"/>
                <w:lang w:bidi="en-US"/>
              </w:rPr>
              <w:t>The focus of our employee commuter reduction plan is to increase telework as described below.</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563B896" w14:textId="28DB8108" w:rsidR="00200DCB" w:rsidRPr="006F131A" w:rsidRDefault="00200DCB" w:rsidP="0001243E">
            <w:pPr>
              <w:pStyle w:val="Table"/>
            </w:pPr>
            <w:r w:rsidRPr="006F131A">
              <w:t>A continued increase in the number of employees te</w:t>
            </w:r>
            <w:r w:rsidR="006825EE" w:rsidRPr="006F131A">
              <w:t>leworking regularly in FY 2017 and 2018.</w:t>
            </w:r>
          </w:p>
        </w:tc>
      </w:tr>
      <w:tr w:rsidR="00200DCB" w:rsidRPr="00174DC2" w14:paraId="1D8F5F7C" w14:textId="77777777" w:rsidTr="0001243E">
        <w:trPr>
          <w:cantSplit/>
        </w:trPr>
        <w:tc>
          <w:tcPr>
            <w:tcW w:w="2875" w:type="dxa"/>
            <w:tcBorders>
              <w:top w:val="single" w:sz="4" w:space="0" w:color="000000"/>
              <w:left w:val="single" w:sz="4" w:space="0" w:color="000000"/>
              <w:bottom w:val="single" w:sz="4" w:space="0" w:color="000000"/>
              <w:right w:val="single" w:sz="4" w:space="0" w:color="000000"/>
            </w:tcBorders>
            <w:shd w:val="clear" w:color="auto" w:fill="auto"/>
          </w:tcPr>
          <w:p w14:paraId="2007DD9D" w14:textId="4D3B989B" w:rsidR="00200DCB" w:rsidRPr="000974AD" w:rsidRDefault="00200DCB" w:rsidP="0001243E">
            <w:pPr>
              <w:pStyle w:val="Table"/>
            </w:pPr>
            <w:r w:rsidRPr="00174DC2">
              <w:t>Increase</w:t>
            </w:r>
            <w:r>
              <w:t xml:space="preserve"> &amp; track </w:t>
            </w:r>
            <w:r w:rsidRPr="00174DC2">
              <w:t>number of employees eligible for telework and/or</w:t>
            </w:r>
            <w:r>
              <w:t xml:space="preserve"> </w:t>
            </w:r>
            <w:r w:rsidRPr="00174DC2">
              <w:t>the total number of days teleworked.</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2EEA8DE2" w14:textId="2F3DA08F" w:rsidR="00200DCB" w:rsidRPr="006F131A" w:rsidRDefault="008B49FF" w:rsidP="0001243E">
            <w:pPr>
              <w:pStyle w:val="Table"/>
            </w:pPr>
            <w:r w:rsidRPr="006F131A">
              <w:t xml:space="preserve">An agreement we </w:t>
            </w:r>
            <w:r w:rsidR="00200DCB" w:rsidRPr="006F131A">
              <w:t>reached with our unions</w:t>
            </w:r>
            <w:r w:rsidRPr="006F131A">
              <w:t xml:space="preserve"> in FY 2014</w:t>
            </w:r>
            <w:r w:rsidR="00200DCB" w:rsidRPr="006F131A">
              <w:t xml:space="preserve"> </w:t>
            </w:r>
            <w:r w:rsidRPr="006F131A">
              <w:t>expanded the number of employees eligible for</w:t>
            </w:r>
            <w:r w:rsidR="00200DCB" w:rsidRPr="006F131A">
              <w:t xml:space="preserve"> our telework program</w:t>
            </w:r>
            <w:r w:rsidRPr="006F131A">
              <w:t>.</w:t>
            </w:r>
            <w:r w:rsidR="00200DCB" w:rsidRPr="006F131A">
              <w:t xml:space="preserve"> </w:t>
            </w:r>
            <w:r w:rsidRPr="006F131A">
              <w:t>We have seen continued increase in telework participation, and expect continued growth</w:t>
            </w:r>
            <w:r w:rsidR="00200DCB" w:rsidRPr="006F131A">
              <w:t xml:space="preserve"> in the near future.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751F0CA" w14:textId="349D3A88" w:rsidR="00200DCB" w:rsidRPr="006F131A" w:rsidRDefault="00200DCB" w:rsidP="0001243E">
            <w:pPr>
              <w:pStyle w:val="Table"/>
            </w:pPr>
            <w:r w:rsidRPr="006F131A">
              <w:t>A continued increase in the number of employees teleworking regularly in FY 201</w:t>
            </w:r>
            <w:r w:rsidR="00EF0165" w:rsidRPr="006F131A">
              <w:t>7</w:t>
            </w:r>
            <w:r w:rsidRPr="006F131A">
              <w:t xml:space="preserve"> and 201</w:t>
            </w:r>
            <w:r w:rsidR="00EF0165" w:rsidRPr="006F131A">
              <w:t>8</w:t>
            </w:r>
            <w:r w:rsidRPr="006F131A">
              <w:t>.</w:t>
            </w:r>
          </w:p>
        </w:tc>
      </w:tr>
      <w:tr w:rsidR="00200DCB" w:rsidRPr="00174DC2" w14:paraId="010C0F89" w14:textId="77777777" w:rsidTr="0001243E">
        <w:trPr>
          <w:cantSplit/>
        </w:trPr>
        <w:tc>
          <w:tcPr>
            <w:tcW w:w="2875" w:type="dxa"/>
            <w:tcBorders>
              <w:top w:val="single" w:sz="4" w:space="0" w:color="000000"/>
              <w:left w:val="single" w:sz="4" w:space="0" w:color="000000"/>
              <w:bottom w:val="single" w:sz="4" w:space="0" w:color="000000"/>
              <w:right w:val="single" w:sz="4" w:space="0" w:color="000000"/>
            </w:tcBorders>
            <w:shd w:val="clear" w:color="auto" w:fill="auto"/>
          </w:tcPr>
          <w:p w14:paraId="69D1C1DE" w14:textId="65FF42A4" w:rsidR="00200DCB" w:rsidRPr="00174DC2" w:rsidRDefault="00200DCB" w:rsidP="0001243E">
            <w:pPr>
              <w:pStyle w:val="Table"/>
            </w:pPr>
            <w:r w:rsidRPr="00174DC2">
              <w:t>Develop and imp</w:t>
            </w:r>
            <w:r>
              <w:t>lement a program to support alternative/zero emissions commuting methods and provide necessary infrastructure.</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464DBBE1" w14:textId="5616B060" w:rsidR="00200DCB" w:rsidRPr="006F131A" w:rsidRDefault="00200DCB" w:rsidP="00794B8A">
            <w:pPr>
              <w:pStyle w:val="Table"/>
            </w:pPr>
            <w:r w:rsidRPr="006F131A">
              <w:t xml:space="preserve">We will explore different approaches being used by other </w:t>
            </w:r>
            <w:r w:rsidR="006A2DFD" w:rsidRPr="006F131A">
              <w:t>G</w:t>
            </w:r>
            <w:r w:rsidRPr="006F131A">
              <w:t>overnment agencies and the private sector to provide charging infrastructure to employees, and choose the best one to pilot.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F2D89CB" w14:textId="04012FC6" w:rsidR="00200DCB" w:rsidRPr="006F131A" w:rsidRDefault="00200DCB" w:rsidP="00CB13F2">
            <w:pPr>
              <w:pStyle w:val="Table"/>
            </w:pPr>
            <w:r w:rsidRPr="006F131A">
              <w:t xml:space="preserve">An approach to workplace charging </w:t>
            </w:r>
            <w:r w:rsidR="00CB13F2" w:rsidRPr="006F131A">
              <w:t xml:space="preserve">is being evaluated </w:t>
            </w:r>
            <w:r w:rsidR="006F131A">
              <w:t>in</w:t>
            </w:r>
            <w:r w:rsidRPr="006F131A">
              <w:t xml:space="preserve"> CY 2017.</w:t>
            </w:r>
          </w:p>
        </w:tc>
      </w:tr>
      <w:tr w:rsidR="00200DCB" w:rsidRPr="00174DC2" w14:paraId="2729CF8F" w14:textId="77777777" w:rsidTr="0001243E">
        <w:trPr>
          <w:cantSplit/>
        </w:trPr>
        <w:tc>
          <w:tcPr>
            <w:tcW w:w="2875" w:type="dxa"/>
            <w:tcBorders>
              <w:top w:val="single" w:sz="4" w:space="0" w:color="000000"/>
              <w:left w:val="single" w:sz="4" w:space="0" w:color="000000"/>
              <w:bottom w:val="single" w:sz="4" w:space="0" w:color="000000"/>
              <w:right w:val="single" w:sz="4" w:space="0" w:color="000000"/>
            </w:tcBorders>
            <w:shd w:val="clear" w:color="auto" w:fill="auto"/>
          </w:tcPr>
          <w:p w14:paraId="1D69EBF8" w14:textId="495B2396" w:rsidR="00200DCB" w:rsidRDefault="00200DCB" w:rsidP="0001243E">
            <w:pPr>
              <w:pStyle w:val="Table"/>
            </w:pPr>
            <w:r>
              <w:t>Establish policies and programs to facilitate workplace charging for employee electric vehicles.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04C4870C" w14:textId="53EF9DC7" w:rsidR="00200DCB" w:rsidRPr="006F131A" w:rsidRDefault="00200DCB" w:rsidP="0001243E">
            <w:pPr>
              <w:pStyle w:val="Table"/>
            </w:pPr>
            <w:r w:rsidRPr="006F131A">
              <w:t>We will explore different approaches being used by other government agencies and the private sector to using fees to cover the costs of offering charging for employee vehicles, and choose the best one to pilot.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27D9781" w14:textId="65E06217" w:rsidR="00200DCB" w:rsidRPr="006F131A" w:rsidRDefault="00200DCB" w:rsidP="00CB13F2">
            <w:pPr>
              <w:pStyle w:val="Table"/>
            </w:pPr>
            <w:r w:rsidRPr="006F131A">
              <w:t xml:space="preserve">An approach to charge fees to cover the costs of offering charging for employee </w:t>
            </w:r>
            <w:r w:rsidR="00CB13F2" w:rsidRPr="006F131A">
              <w:t xml:space="preserve">are being evaluated </w:t>
            </w:r>
            <w:r w:rsidR="006F131A">
              <w:t>in</w:t>
            </w:r>
            <w:r w:rsidRPr="006F131A">
              <w:t xml:space="preserve"> CY 2017.</w:t>
            </w:r>
          </w:p>
        </w:tc>
      </w:tr>
    </w:tbl>
    <w:p w14:paraId="2288A405" w14:textId="013D3946" w:rsidR="00A823A5" w:rsidRPr="00A823A5" w:rsidRDefault="00174DC2" w:rsidP="00C72E17">
      <w:pPr>
        <w:pStyle w:val="Heading2"/>
      </w:pPr>
      <w:bookmarkStart w:id="30" w:name="_Toc441069286"/>
      <w:bookmarkStart w:id="31" w:name="_Toc486579597"/>
      <w:r w:rsidRPr="00576A24">
        <w:t>Goal 2: Sustainable Buildings</w:t>
      </w:r>
      <w:bookmarkStart w:id="32" w:name="_Toc441046839"/>
      <w:bookmarkEnd w:id="28"/>
      <w:bookmarkEnd w:id="30"/>
      <w:bookmarkEnd w:id="31"/>
    </w:p>
    <w:p w14:paraId="769578A5" w14:textId="330D33CF" w:rsidR="00576A24" w:rsidRPr="00576A24" w:rsidRDefault="00576A24" w:rsidP="00576A24">
      <w:pPr>
        <w:pStyle w:val="Heading3"/>
      </w:pPr>
      <w:bookmarkStart w:id="33" w:name="_Toc416894464"/>
      <w:bookmarkStart w:id="34" w:name="_Toc441069287"/>
      <w:bookmarkStart w:id="35" w:name="_Toc444272891"/>
      <w:r w:rsidRPr="00576A24">
        <w:t>Building Energy Conservation</w:t>
      </w:r>
      <w:bookmarkEnd w:id="33"/>
      <w:bookmarkEnd w:id="34"/>
      <w:r w:rsidR="009B1FED">
        <w:t xml:space="preserve"> Goal</w:t>
      </w:r>
      <w:bookmarkEnd w:id="35"/>
    </w:p>
    <w:p w14:paraId="5F424BA0" w14:textId="67974CAB" w:rsidR="00576A24" w:rsidRDefault="00A333E7" w:rsidP="00280EDB">
      <w:r>
        <w:t>T</w:t>
      </w:r>
      <w:r w:rsidRPr="00174DC2">
        <w:t>he</w:t>
      </w:r>
      <w:r>
        <w:t xml:space="preserve"> </w:t>
      </w:r>
      <w:r w:rsidRPr="00174DC2">
        <w:t>Energy Independence and Security Act of 2007 (EISA) require</w:t>
      </w:r>
      <w:r w:rsidR="00485580">
        <w:t>d</w:t>
      </w:r>
      <w:r w:rsidRPr="00174DC2">
        <w:t xml:space="preserve"> each agenc</w:t>
      </w:r>
      <w:r>
        <w:t xml:space="preserve">y to reduce energy intensity 30% </w:t>
      </w:r>
      <w:r w:rsidRPr="00174DC2">
        <w:t xml:space="preserve">by </w:t>
      </w:r>
      <w:r>
        <w:t>FY 2015 as compared to FY </w:t>
      </w:r>
      <w:r w:rsidRPr="00174DC2">
        <w:t>2003 baseline</w:t>
      </w:r>
      <w:r>
        <w:t xml:space="preserve">. </w:t>
      </w:r>
      <w:r w:rsidRPr="00174DC2">
        <w:t xml:space="preserve">Section 3(a) </w:t>
      </w:r>
      <w:r>
        <w:t xml:space="preserve">of </w:t>
      </w:r>
      <w:r w:rsidR="00576A24" w:rsidRPr="00174DC2">
        <w:t xml:space="preserve">E.O. 13693 </w:t>
      </w:r>
      <w:r>
        <w:t xml:space="preserve">requires </w:t>
      </w:r>
      <w:r w:rsidR="00576A24" w:rsidRPr="00174DC2">
        <w:t xml:space="preserve">agencies </w:t>
      </w:r>
      <w:r>
        <w:t>to</w:t>
      </w:r>
      <w:r w:rsidR="00576A24" w:rsidRPr="00174DC2">
        <w:t xml:space="preserve"> promote building energy conservation, efficiency, and management</w:t>
      </w:r>
      <w:r>
        <w:t xml:space="preserve"> and reduce </w:t>
      </w:r>
      <w:r w:rsidR="00576A24" w:rsidRPr="00174DC2">
        <w:t xml:space="preserve">building energy intensity by 2.5% annually through the end of </w:t>
      </w:r>
      <w:r w:rsidR="00576A24">
        <w:t>FY 2</w:t>
      </w:r>
      <w:r w:rsidR="00576A24" w:rsidRPr="00174DC2">
        <w:t>025</w:t>
      </w:r>
      <w:r>
        <w:t xml:space="preserve">, </w:t>
      </w:r>
      <w:r w:rsidR="00576A24" w:rsidRPr="00174DC2">
        <w:t xml:space="preserve">relative to a </w:t>
      </w:r>
      <w:r w:rsidR="00576A24">
        <w:t>FY </w:t>
      </w:r>
      <w:r w:rsidR="00576A24" w:rsidRPr="00174DC2">
        <w:t>2015 baseline and taking into account agency progress to date, ex</w:t>
      </w:r>
      <w:r>
        <w:t>cept where revised pursuant to S</w:t>
      </w:r>
      <w:r w:rsidR="00576A24" w:rsidRPr="00174DC2">
        <w:t>ection 9(f) of E.O. 13693.</w:t>
      </w:r>
    </w:p>
    <w:p w14:paraId="5E8A42F5" w14:textId="54FB09FD" w:rsidR="0020540D" w:rsidRPr="008D263C" w:rsidRDefault="00EF0BA3" w:rsidP="00EA758E">
      <w:pPr>
        <w:pStyle w:val="Heading3"/>
      </w:pPr>
      <w:r>
        <w:t>Chart</w:t>
      </w:r>
      <w:r w:rsidR="0020540D" w:rsidRPr="008D263C">
        <w:t>: Progress Toward Facility Energy Intensity Reduction Goal</w:t>
      </w:r>
    </w:p>
    <w:p w14:paraId="4EAD8A3D" w14:textId="4041A492" w:rsidR="00A333E7" w:rsidRPr="00200DCB" w:rsidRDefault="00200DCB" w:rsidP="00200DCB">
      <w:pPr>
        <w:jc w:val="center"/>
      </w:pPr>
      <w:r>
        <w:rPr>
          <w:noProof/>
        </w:rPr>
        <w:drawing>
          <wp:inline distT="0" distB="0" distL="0" distR="0" wp14:anchorId="31533C26" wp14:editId="61373FBD">
            <wp:extent cx="5943600" cy="47351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735195"/>
                    </a:xfrm>
                    <a:prstGeom prst="rect">
                      <a:avLst/>
                    </a:prstGeom>
                  </pic:spPr>
                </pic:pic>
              </a:graphicData>
            </a:graphic>
          </wp:inline>
        </w:drawing>
      </w:r>
    </w:p>
    <w:bookmarkEnd w:id="32"/>
    <w:p w14:paraId="00B7E083" w14:textId="603AEDCD" w:rsidR="00203C80" w:rsidRPr="00F50712" w:rsidRDefault="008B49FF" w:rsidP="00203C80">
      <w:pPr>
        <w:spacing w:after="160" w:line="259" w:lineRule="auto"/>
        <w:rPr>
          <w:rFonts w:cs="Times New Roman"/>
          <w:color w:val="FF0000"/>
          <w:szCs w:val="24"/>
        </w:rPr>
      </w:pPr>
      <w:r w:rsidRPr="00F50712">
        <w:rPr>
          <w:color w:val="FF0000"/>
        </w:rPr>
        <w:t>SSA is</w:t>
      </w:r>
      <w:r w:rsidR="00200DCB" w:rsidRPr="00F50712">
        <w:rPr>
          <w:color w:val="FF0000"/>
        </w:rPr>
        <w:t xml:space="preserve"> proud to have exceeded the 30 percent energy intensity reduction required by EISA for goal-subject facilities in FY 2015 compared to the FY 2003 baseline.  </w:t>
      </w:r>
      <w:r w:rsidRPr="00F50712">
        <w:rPr>
          <w:color w:val="FF0000"/>
        </w:rPr>
        <w:t>SSA is</w:t>
      </w:r>
      <w:r w:rsidR="00200DCB" w:rsidRPr="00F50712">
        <w:rPr>
          <w:color w:val="FF0000"/>
        </w:rPr>
        <w:t xml:space="preserve"> also proud to have </w:t>
      </w:r>
      <w:r w:rsidR="00FE34F7" w:rsidRPr="00F50712">
        <w:rPr>
          <w:color w:val="FF0000"/>
        </w:rPr>
        <w:t>achieved</w:t>
      </w:r>
      <w:r w:rsidR="00200DCB" w:rsidRPr="00F50712">
        <w:rPr>
          <w:color w:val="FF0000"/>
        </w:rPr>
        <w:t xml:space="preserve"> green for energy reduction for the 2016 Scorecard and </w:t>
      </w:r>
      <w:r w:rsidRPr="00F50712">
        <w:rPr>
          <w:color w:val="FF0000"/>
        </w:rPr>
        <w:t>is</w:t>
      </w:r>
      <w:r w:rsidR="00200DCB" w:rsidRPr="00F50712">
        <w:rPr>
          <w:color w:val="FF0000"/>
        </w:rPr>
        <w:t xml:space="preserve"> on</w:t>
      </w:r>
      <w:r w:rsidRPr="00F50712">
        <w:rPr>
          <w:color w:val="FF0000"/>
        </w:rPr>
        <w:t xml:space="preserve"> track to meet the 25 percent</w:t>
      </w:r>
      <w:r w:rsidR="00200DCB" w:rsidRPr="00F50712">
        <w:rPr>
          <w:color w:val="FF0000"/>
        </w:rPr>
        <w:t xml:space="preserve"> energy reduction by 2025. We will continue implementing improvements to our facilities to achieve additional energy intensity reductions.</w:t>
      </w:r>
      <w:r w:rsidR="00203C80" w:rsidRPr="00F50712">
        <w:rPr>
          <w:rFonts w:cs="Times New Roman"/>
          <w:color w:val="FF0000"/>
          <w:szCs w:val="24"/>
        </w:rPr>
        <w:t xml:space="preserve">  </w:t>
      </w:r>
    </w:p>
    <w:p w14:paraId="535C4E86" w14:textId="1F7CEC5D" w:rsidR="00263174" w:rsidRPr="002E2CB8" w:rsidRDefault="00EA758E" w:rsidP="00EA758E">
      <w:pPr>
        <w:pStyle w:val="Heading3"/>
        <w:rPr>
          <w:b w:val="0"/>
          <w:i/>
        </w:rPr>
      </w:pPr>
      <w:r>
        <w:t xml:space="preserve">Building </w:t>
      </w:r>
      <w:r w:rsidR="00263174">
        <w:t>Energy Conservation Strategies</w:t>
      </w:r>
      <w:r w:rsidR="00965D14">
        <w:t xml:space="preserve"> for Fiscal Year 2018</w:t>
      </w:r>
      <w:r w:rsidR="00B32BCC">
        <w:t xml:space="preserve"> </w:t>
      </w:r>
    </w:p>
    <w:tbl>
      <w:tblPr>
        <w:tblW w:w="4913" w:type="pct"/>
        <w:tblLayout w:type="fixed"/>
        <w:tblCellMar>
          <w:left w:w="0" w:type="dxa"/>
          <w:right w:w="0" w:type="dxa"/>
        </w:tblCellMar>
        <w:tblLook w:val="01E0" w:firstRow="1" w:lastRow="1" w:firstColumn="1" w:lastColumn="1" w:noHBand="0" w:noVBand="0"/>
      </w:tblPr>
      <w:tblGrid>
        <w:gridCol w:w="3325"/>
        <w:gridCol w:w="3780"/>
        <w:gridCol w:w="2790"/>
      </w:tblGrid>
      <w:tr w:rsidR="002E2CB8" w:rsidRPr="00EB49B5" w14:paraId="46657E38" w14:textId="77777777" w:rsidTr="00FE34F7">
        <w:trPr>
          <w:cantSplit/>
          <w:trHeight w:val="593"/>
          <w:tblHeader/>
        </w:trPr>
        <w:tc>
          <w:tcPr>
            <w:tcW w:w="3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3D5801" w14:textId="77777777" w:rsidR="002E2CB8" w:rsidRPr="00EB49B5" w:rsidRDefault="002E2CB8" w:rsidP="00586FE3">
            <w:pPr>
              <w:pStyle w:val="Table"/>
              <w:jc w:val="center"/>
              <w:rPr>
                <w:b/>
              </w:rPr>
            </w:pPr>
            <w:r w:rsidRPr="00EB49B5">
              <w:rPr>
                <w:b/>
              </w:rPr>
              <w:t>Strategy</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4415E0" w14:textId="77777777" w:rsidR="002E2CB8" w:rsidRPr="00EB49B5" w:rsidRDefault="002E2CB8" w:rsidP="00586FE3">
            <w:pPr>
              <w:pStyle w:val="Table"/>
              <w:jc w:val="center"/>
              <w:rPr>
                <w:b/>
              </w:rPr>
            </w:pPr>
            <w:r>
              <w:rPr>
                <w:b/>
              </w:rPr>
              <w:t>Strategy Narrative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07EEEB" w14:textId="77777777" w:rsidR="002E2CB8" w:rsidRPr="00EB49B5" w:rsidRDefault="002E2CB8" w:rsidP="00586FE3">
            <w:pPr>
              <w:pStyle w:val="Table"/>
              <w:jc w:val="center"/>
              <w:rPr>
                <w:b/>
              </w:rPr>
            </w:pPr>
            <w:r>
              <w:rPr>
                <w:b/>
              </w:rPr>
              <w:t>Targets and Metrics</w:t>
            </w:r>
          </w:p>
        </w:tc>
      </w:tr>
      <w:tr w:rsidR="00200DCB" w:rsidRPr="00174DC2" w14:paraId="68A80218" w14:textId="77777777" w:rsidTr="00FE34F7">
        <w:trPr>
          <w:cantSplit/>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121BE65F" w14:textId="1F53C64D" w:rsidR="00200DCB" w:rsidRPr="00174DC2" w:rsidRDefault="00200DCB" w:rsidP="00200DCB">
            <w:pPr>
              <w:pStyle w:val="Table"/>
            </w:pPr>
            <w:r>
              <w:t xml:space="preserve">Make energy efficiency investments in agency buildings.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06A0AB7" w14:textId="25AC0B9E" w:rsidR="00200DCB" w:rsidRPr="006F131A" w:rsidRDefault="00200DCB" w:rsidP="00200DCB">
            <w:pPr>
              <w:pStyle w:val="Table"/>
            </w:pPr>
            <w:r w:rsidRPr="006F131A">
              <w:t>We will continue to request funding to perform energy audits when due, and implement the identified measures to improve energy efficiency.</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F29FBA6" w14:textId="50DC7891" w:rsidR="00200DCB" w:rsidRPr="006F131A" w:rsidRDefault="00200DCB" w:rsidP="00200DCB">
            <w:pPr>
              <w:pStyle w:val="Table"/>
            </w:pPr>
            <w:r w:rsidRPr="006F131A">
              <w:t>Energy intensity reduced 7.5 percent in F</w:t>
            </w:r>
            <w:r w:rsidR="005339D0" w:rsidRPr="006F131A">
              <w:t>Y 2018 from the FY 2015 baseline</w:t>
            </w:r>
            <w:r w:rsidRPr="006F131A">
              <w:t>.</w:t>
            </w:r>
          </w:p>
        </w:tc>
      </w:tr>
      <w:tr w:rsidR="00200DCB" w:rsidRPr="00174DC2" w14:paraId="66048C27" w14:textId="77777777" w:rsidTr="00FE34F7">
        <w:trPr>
          <w:cantSplit/>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1EEFE9DB" w14:textId="0DCCF408" w:rsidR="00200DCB" w:rsidRPr="00174DC2" w:rsidRDefault="00200DCB" w:rsidP="00200DCB">
            <w:pPr>
              <w:pStyle w:val="Table"/>
            </w:pPr>
            <w:r w:rsidRPr="00174DC2">
              <w:t>Participate in demand management programs</w:t>
            </w:r>
            <w:r>
              <w:t>.</w:t>
            </w:r>
            <w:r w:rsidRPr="00174DC2">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F5DA" w14:textId="2AE46588" w:rsidR="00200DCB" w:rsidRPr="006F131A" w:rsidRDefault="00200DCB" w:rsidP="00200DCB">
            <w:pPr>
              <w:pStyle w:val="Table"/>
            </w:pPr>
            <w:r w:rsidRPr="006F131A">
              <w:rPr>
                <w:rFonts w:cs="Times New Roman"/>
              </w:rPr>
              <w:t>The Northeastern Program Service Center participates in a demand management program during winter months.</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685D" w14:textId="1717DB50" w:rsidR="00200DCB" w:rsidRPr="006F131A" w:rsidRDefault="00200DCB" w:rsidP="00200DCB">
            <w:pPr>
              <w:pStyle w:val="Table"/>
            </w:pPr>
            <w:r w:rsidRPr="006F131A">
              <w:rPr>
                <w:rFonts w:cs="Times New Roman"/>
              </w:rPr>
              <w:t>The Northeastern Program Service Center will continue participating in a demand management program.</w:t>
            </w:r>
          </w:p>
        </w:tc>
      </w:tr>
      <w:tr w:rsidR="00200DCB" w:rsidRPr="00174DC2" w14:paraId="7A0B1385" w14:textId="77777777" w:rsidTr="00FE34F7">
        <w:trPr>
          <w:cantSplit/>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4CAB5DEE" w14:textId="77777777" w:rsidR="00200DCB" w:rsidRPr="00E86656" w:rsidRDefault="00200DCB" w:rsidP="00200DCB">
            <w:pPr>
              <w:pStyle w:val="Table"/>
              <w:rPr>
                <w:rFonts w:eastAsia="Times New Roman" w:cs="Times New Roman"/>
                <w:bCs/>
              </w:rPr>
            </w:pPr>
            <w:r w:rsidRPr="00174DC2">
              <w:rPr>
                <w:rFonts w:cs="Times New Roman"/>
              </w:rPr>
              <w:t>Install and monitor energy meters and su</w:t>
            </w:r>
            <w:r>
              <w:rPr>
                <w:rFonts w:cs="Times New Roman"/>
              </w:rPr>
              <w:t>b-meters.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937AD" w14:textId="09455BCA" w:rsidR="00200DCB" w:rsidRPr="006F131A" w:rsidRDefault="00200DCB" w:rsidP="00200DCB">
            <w:pPr>
              <w:pStyle w:val="Table"/>
            </w:pPr>
            <w:r w:rsidRPr="006F131A">
              <w:t>We will continue to add smart meters to identify areas where we can reduce our energy and water usage.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BA9BED7" w14:textId="7E490E81" w:rsidR="00200DCB" w:rsidRPr="006F131A" w:rsidRDefault="00200DCB" w:rsidP="00200DCB">
            <w:pPr>
              <w:pStyle w:val="Table"/>
            </w:pPr>
            <w:r w:rsidRPr="006F131A">
              <w:t>Energy intensity reduced 7.5 percent in FY 2018 from the FY 2015 baseline.</w:t>
            </w:r>
          </w:p>
        </w:tc>
      </w:tr>
      <w:tr w:rsidR="00200DCB" w:rsidRPr="00174DC2" w14:paraId="0B6DBCC5" w14:textId="77777777" w:rsidTr="00FE34F7">
        <w:trPr>
          <w:cantSplit/>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15F8D838" w14:textId="77777777" w:rsidR="00200DCB" w:rsidRPr="00174DC2" w:rsidRDefault="00200DCB" w:rsidP="00200DCB">
            <w:pPr>
              <w:pStyle w:val="Table"/>
              <w:rPr>
                <w:rFonts w:cs="Times New Roman"/>
              </w:rPr>
            </w:pPr>
            <w:r w:rsidRPr="00174DC2">
              <w:rPr>
                <w:rFonts w:cs="Times New Roman"/>
              </w:rPr>
              <w:t>Collect and utilize building and facility energy use data to improve building energy management and performance.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4FC273C" w14:textId="3CC44302" w:rsidR="00200DCB" w:rsidRPr="006F131A" w:rsidRDefault="00200DCB" w:rsidP="00200DCB">
            <w:pPr>
              <w:pStyle w:val="Table"/>
            </w:pPr>
            <w:r w:rsidRPr="006F131A">
              <w:t>We use and will continue to use building and facility energy use data to improve building energy management and performance.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87A0063" w14:textId="504B65BD" w:rsidR="00200DCB" w:rsidRPr="006F131A" w:rsidRDefault="00200DCB" w:rsidP="00200DCB">
            <w:pPr>
              <w:pStyle w:val="Table"/>
            </w:pPr>
            <w:r w:rsidRPr="006F131A">
              <w:t xml:space="preserve">EPA’s Energy Star Portfolio Manager used to analyze </w:t>
            </w:r>
            <w:r w:rsidRPr="006F131A">
              <w:rPr>
                <w:rFonts w:cs="Times New Roman"/>
              </w:rPr>
              <w:t xml:space="preserve">building energy management </w:t>
            </w:r>
            <w:r w:rsidRPr="006F131A">
              <w:t>data.</w:t>
            </w:r>
          </w:p>
        </w:tc>
      </w:tr>
      <w:tr w:rsidR="00200DCB" w:rsidRPr="00174DC2" w14:paraId="38224330" w14:textId="77777777" w:rsidTr="00FE34F7">
        <w:trPr>
          <w:cantSplit/>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0BEF8D23" w14:textId="768D8FBC" w:rsidR="00200DCB" w:rsidRPr="00174DC2" w:rsidRDefault="00200DCB" w:rsidP="00200DCB">
            <w:pPr>
              <w:pStyle w:val="Table"/>
              <w:rPr>
                <w:rFonts w:cs="Times New Roman"/>
              </w:rPr>
            </w:pPr>
            <w:r w:rsidRPr="00174DC2">
              <w:t>Ensure that monthly performance data is entered into the EPA ENERGY STAR Portfolio Manager</w:t>
            </w:r>
            <w:r>
              <w: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A06CDB5" w14:textId="778ADE78" w:rsidR="00200DCB" w:rsidRPr="006F131A" w:rsidRDefault="00200DCB" w:rsidP="00200DCB">
            <w:pPr>
              <w:pStyle w:val="Table"/>
            </w:pPr>
            <w:r w:rsidRPr="006F131A">
              <w:t xml:space="preserve">We will continue to enter monthly performance data into the EPA Energy Star Portfolio Manager System.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20E42B7" w14:textId="2585A77E" w:rsidR="00200DCB" w:rsidRPr="006F131A" w:rsidRDefault="00200DCB" w:rsidP="00200DCB">
            <w:pPr>
              <w:pStyle w:val="Table"/>
            </w:pPr>
            <w:r w:rsidRPr="006F131A">
              <w:t>Performance data entered into Portfolio Manager.</w:t>
            </w:r>
          </w:p>
        </w:tc>
      </w:tr>
    </w:tbl>
    <w:p w14:paraId="760906F1" w14:textId="77777777" w:rsidR="00263174" w:rsidRPr="003435BF" w:rsidRDefault="00263174" w:rsidP="00C36C43">
      <w:pPr>
        <w:rPr>
          <w:i/>
        </w:rPr>
      </w:pPr>
    </w:p>
    <w:p w14:paraId="551A0B4A" w14:textId="77777777" w:rsidR="0020540D" w:rsidRPr="00576A24" w:rsidRDefault="0020540D" w:rsidP="0020540D">
      <w:pPr>
        <w:pStyle w:val="Heading3"/>
      </w:pPr>
      <w:bookmarkStart w:id="36" w:name="_Toc416894465"/>
      <w:bookmarkStart w:id="37" w:name="_Toc441069288"/>
      <w:bookmarkStart w:id="38" w:name="_Toc444272892"/>
      <w:bookmarkStart w:id="39" w:name="_Toc441046841"/>
      <w:r w:rsidRPr="00576A24">
        <w:t>Building Efficiency</w:t>
      </w:r>
      <w:r>
        <w:t>,</w:t>
      </w:r>
      <w:r w:rsidRPr="00576A24">
        <w:t xml:space="preserve"> Performance, and Management</w:t>
      </w:r>
      <w:bookmarkEnd w:id="36"/>
      <w:bookmarkEnd w:id="37"/>
      <w:r>
        <w:t xml:space="preserve"> Goal</w:t>
      </w:r>
      <w:bookmarkEnd w:id="38"/>
    </w:p>
    <w:p w14:paraId="31123173" w14:textId="77777777" w:rsidR="00794B8A" w:rsidRDefault="0020540D" w:rsidP="0020540D">
      <w:r w:rsidRPr="00174DC2">
        <w:t>Section 3(h) of E.O. 13693 states that agencies will improve building efficiency, performance, and management</w:t>
      </w:r>
      <w:r>
        <w:t xml:space="preserve"> and</w:t>
      </w:r>
      <w:r w:rsidRPr="00174DC2">
        <w:t xml:space="preserve"> requires that agencies identify a percentage of the agency's existing buildings above 5,000 gross square feet intended to be energy, waste, or water net-zero buildings by </w:t>
      </w:r>
      <w:r>
        <w:t>FY </w:t>
      </w:r>
      <w:r w:rsidRPr="00174DC2">
        <w:t>2025 and implementing actions that will allow those buildings to meet th</w:t>
      </w:r>
      <w:r w:rsidRPr="005339D0">
        <w:t xml:space="preserve">at target. </w:t>
      </w:r>
    </w:p>
    <w:p w14:paraId="632FE7C7" w14:textId="3A6F882E" w:rsidR="0020540D" w:rsidRPr="00F50712" w:rsidRDefault="005339D0" w:rsidP="0020540D">
      <w:pPr>
        <w:rPr>
          <w:color w:val="FF0000"/>
        </w:rPr>
      </w:pPr>
      <w:r w:rsidRPr="00F50712">
        <w:rPr>
          <w:color w:val="FF0000"/>
        </w:rPr>
        <w:t>SSA had initially identified 54</w:t>
      </w:r>
      <w:r w:rsidR="00794B8A" w:rsidRPr="00794B8A">
        <w:rPr>
          <w:color w:val="FF0000"/>
        </w:rPr>
        <w:t xml:space="preserve"> </w:t>
      </w:r>
      <w:r w:rsidR="00794B8A">
        <w:rPr>
          <w:color w:val="FF0000"/>
        </w:rPr>
        <w:t xml:space="preserve">percent </w:t>
      </w:r>
      <w:r w:rsidRPr="00F50712">
        <w:rPr>
          <w:color w:val="FF0000"/>
        </w:rPr>
        <w:t xml:space="preserve"> of its gross square footage to use Baltimore’s waste-to-energy facility to satisfy the net zero waste goal. However, based on calculation of waste converted to energy in the Guidance of Waste Diversion Goals Credit in Federal Compliance with E.O. 13693, it will not be possible for SSA to meet net-zero goals in its delegated facilities. </w:t>
      </w:r>
      <w:r w:rsidR="0020540D" w:rsidRPr="00F50712">
        <w:rPr>
          <w:color w:val="FF0000"/>
        </w:rPr>
        <w:t xml:space="preserve"> </w:t>
      </w:r>
    </w:p>
    <w:p w14:paraId="3FDBAB96" w14:textId="35504DC6" w:rsidR="0020540D" w:rsidRPr="00B52263" w:rsidRDefault="0020540D" w:rsidP="00EA758E">
      <w:pPr>
        <w:pStyle w:val="Heading3"/>
      </w:pPr>
      <w:r w:rsidRPr="00B52263">
        <w:t xml:space="preserve">Guiding Principles for Sustainable </w:t>
      </w:r>
      <w:r w:rsidR="000F15DE">
        <w:t xml:space="preserve">Federal </w:t>
      </w:r>
      <w:r w:rsidRPr="00B52263">
        <w:t>Building</w:t>
      </w:r>
      <w:r w:rsidR="000F15DE">
        <w:t>s</w:t>
      </w:r>
    </w:p>
    <w:p w14:paraId="388DDDF3" w14:textId="16E3A030" w:rsidR="00EE43ED" w:rsidRPr="005339D0" w:rsidRDefault="0020540D" w:rsidP="0020540D">
      <w:r w:rsidRPr="00174DC2">
        <w:t xml:space="preserve">Section 3(h) of E.O. 13693 </w:t>
      </w:r>
      <w:r>
        <w:t xml:space="preserve">also states that agencies will identify a percentage, by number or total GSF, of existing buildings above 5,000 </w:t>
      </w:r>
      <w:r w:rsidR="00DF60FE">
        <w:t>GSF</w:t>
      </w:r>
      <w:r>
        <w:t xml:space="preserve"> that will comply with the </w:t>
      </w:r>
      <w:r w:rsidRPr="00B52263">
        <w:rPr>
          <w:i/>
        </w:rPr>
        <w:t xml:space="preserve">Guiding Principles for </w:t>
      </w:r>
      <w:r w:rsidR="000F15DE">
        <w:rPr>
          <w:i/>
        </w:rPr>
        <w:t xml:space="preserve">Sustainable </w:t>
      </w:r>
      <w:r w:rsidR="000F15DE" w:rsidRPr="005339D0">
        <w:rPr>
          <w:i/>
        </w:rPr>
        <w:t xml:space="preserve">Federal </w:t>
      </w:r>
      <w:r w:rsidRPr="005339D0">
        <w:rPr>
          <w:i/>
        </w:rPr>
        <w:t>Building</w:t>
      </w:r>
      <w:r w:rsidR="000F15DE" w:rsidRPr="005339D0">
        <w:rPr>
          <w:i/>
        </w:rPr>
        <w:t>s</w:t>
      </w:r>
      <w:r w:rsidRPr="005339D0">
        <w:rPr>
          <w:i/>
        </w:rPr>
        <w:t xml:space="preserve"> (Guiding Principles)</w:t>
      </w:r>
      <w:r w:rsidRPr="005339D0">
        <w:t xml:space="preserve"> by FY 2025.  </w:t>
      </w:r>
    </w:p>
    <w:p w14:paraId="17F33BC0" w14:textId="41E3D8F4" w:rsidR="00203C80" w:rsidRPr="00F50712" w:rsidRDefault="005339D0" w:rsidP="00FC106B">
      <w:pPr>
        <w:rPr>
          <w:color w:val="FF0000"/>
        </w:rPr>
      </w:pPr>
      <w:r w:rsidRPr="00F50712">
        <w:rPr>
          <w:color w:val="FF0000"/>
        </w:rPr>
        <w:t>SSA</w:t>
      </w:r>
      <w:r w:rsidR="0020540D" w:rsidRPr="00F50712">
        <w:rPr>
          <w:color w:val="FF0000"/>
        </w:rPr>
        <w:t xml:space="preserve">’s FY 2025 target is </w:t>
      </w:r>
      <w:r w:rsidRPr="00F50712">
        <w:rPr>
          <w:color w:val="FF0000"/>
        </w:rPr>
        <w:t>15</w:t>
      </w:r>
      <w:r w:rsidR="00794B8A">
        <w:rPr>
          <w:color w:val="FF0000"/>
        </w:rPr>
        <w:t xml:space="preserve"> percent</w:t>
      </w:r>
      <w:r w:rsidR="0020540D" w:rsidRPr="00F50712">
        <w:rPr>
          <w:color w:val="FF0000"/>
        </w:rPr>
        <w:t xml:space="preserve"> of </w:t>
      </w:r>
      <w:r w:rsidR="00EE43ED" w:rsidRPr="00F50712">
        <w:rPr>
          <w:color w:val="FF0000"/>
        </w:rPr>
        <w:t xml:space="preserve">total </w:t>
      </w:r>
      <w:r w:rsidR="00DF60FE" w:rsidRPr="00F50712">
        <w:rPr>
          <w:color w:val="FF0000"/>
        </w:rPr>
        <w:t>GSF</w:t>
      </w:r>
      <w:r w:rsidRPr="00F50712">
        <w:rPr>
          <w:color w:val="FF0000"/>
        </w:rPr>
        <w:t xml:space="preserve"> of delegated facilities</w:t>
      </w:r>
      <w:r w:rsidR="00EE43ED" w:rsidRPr="00F50712">
        <w:rPr>
          <w:color w:val="FF0000"/>
        </w:rPr>
        <w:t xml:space="preserve">. </w:t>
      </w:r>
      <w:r w:rsidR="00794B8A">
        <w:rPr>
          <w:color w:val="FF0000"/>
        </w:rPr>
        <w:t xml:space="preserve"> </w:t>
      </w:r>
      <w:r w:rsidRPr="00F50712">
        <w:rPr>
          <w:color w:val="FF0000"/>
        </w:rPr>
        <w:t>Our delegated facilities comply with almost all of the Guiding Principles criteria for existing buildings.  We will continue to evaluate ways to meet additional criteria</w:t>
      </w:r>
      <w:r w:rsidR="00FC106B" w:rsidRPr="00F50712">
        <w:rPr>
          <w:color w:val="FF0000"/>
        </w:rPr>
        <w:t xml:space="preserve"> so that the buildings conform with the Guiding Principles</w:t>
      </w:r>
      <w:r w:rsidRPr="00F50712">
        <w:rPr>
          <w:color w:val="FF0000"/>
        </w:rPr>
        <w:t>.</w:t>
      </w:r>
    </w:p>
    <w:p w14:paraId="63D056D5" w14:textId="555ACE2F" w:rsidR="00EE4C25" w:rsidRDefault="00EE4C25" w:rsidP="002E2CB8">
      <w:pPr>
        <w:pStyle w:val="Heading3"/>
        <w:rPr>
          <w:b w:val="0"/>
        </w:rPr>
      </w:pPr>
      <w:r w:rsidRPr="00B435D1">
        <w:t>Sustainable Buildings Strategies</w:t>
      </w:r>
      <w:r w:rsidR="00965D14">
        <w:t xml:space="preserve"> for Fiscal Year 2018</w:t>
      </w:r>
      <w:r w:rsidR="00B32BCC">
        <w:rPr>
          <w:b w:val="0"/>
        </w:rPr>
        <w:t xml:space="preserve"> </w:t>
      </w:r>
    </w:p>
    <w:p w14:paraId="17A4B872" w14:textId="28BB897A" w:rsidR="00FE34F7" w:rsidRPr="00F50712" w:rsidRDefault="00FE34F7" w:rsidP="00FE34F7">
      <w:pPr>
        <w:rPr>
          <w:color w:val="FF0000"/>
        </w:rPr>
      </w:pPr>
      <w:r w:rsidRPr="00F50712">
        <w:rPr>
          <w:color w:val="FF0000"/>
        </w:rPr>
        <w:t>SSA’s delegated facilities are all GSA leases, and SSA does not construct new buildings. Therefore, not all potential strategies apply to SSA, and only three are listed below.</w:t>
      </w:r>
    </w:p>
    <w:tbl>
      <w:tblPr>
        <w:tblW w:w="4868" w:type="pct"/>
        <w:tblLayout w:type="fixed"/>
        <w:tblCellMar>
          <w:left w:w="0" w:type="dxa"/>
          <w:right w:w="0" w:type="dxa"/>
        </w:tblCellMar>
        <w:tblLook w:val="01E0" w:firstRow="1" w:lastRow="1" w:firstColumn="1" w:lastColumn="1" w:noHBand="0" w:noVBand="0"/>
      </w:tblPr>
      <w:tblGrid>
        <w:gridCol w:w="3415"/>
        <w:gridCol w:w="3870"/>
        <w:gridCol w:w="2519"/>
      </w:tblGrid>
      <w:tr w:rsidR="002E2CB8" w:rsidRPr="00EB49B5" w14:paraId="206DB647" w14:textId="77777777" w:rsidTr="008B49FF">
        <w:trPr>
          <w:cantSplit/>
          <w:trHeight w:val="593"/>
          <w:tblHeader/>
        </w:trPr>
        <w:tc>
          <w:tcPr>
            <w:tcW w:w="3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46FE71" w14:textId="77777777" w:rsidR="002E2CB8" w:rsidRPr="00EB49B5" w:rsidRDefault="002E2CB8" w:rsidP="002E256D">
            <w:pPr>
              <w:pStyle w:val="Table"/>
              <w:jc w:val="center"/>
              <w:rPr>
                <w:b/>
              </w:rPr>
            </w:pPr>
            <w:r w:rsidRPr="00EB49B5">
              <w:rPr>
                <w:b/>
              </w:rPr>
              <w:t>Strategy</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4DB105" w14:textId="77777777" w:rsidR="002E2CB8" w:rsidRPr="00EB49B5" w:rsidRDefault="002E2CB8" w:rsidP="002E256D">
            <w:pPr>
              <w:pStyle w:val="Table"/>
              <w:jc w:val="center"/>
              <w:rPr>
                <w:b/>
              </w:rPr>
            </w:pPr>
            <w:r>
              <w:rPr>
                <w:b/>
              </w:rPr>
              <w:t>Strategy Narrative</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8CF3B2" w14:textId="77777777" w:rsidR="002E2CB8" w:rsidRPr="00EB49B5" w:rsidRDefault="002E2CB8" w:rsidP="002E256D">
            <w:pPr>
              <w:pStyle w:val="Table"/>
              <w:jc w:val="center"/>
              <w:rPr>
                <w:b/>
              </w:rPr>
            </w:pPr>
            <w:r>
              <w:rPr>
                <w:b/>
              </w:rPr>
              <w:t>Targets and Metrics</w:t>
            </w:r>
          </w:p>
        </w:tc>
      </w:tr>
      <w:tr w:rsidR="005339D0" w:rsidRPr="00174DC2" w14:paraId="1273F040" w14:textId="77777777" w:rsidTr="008B49FF">
        <w:trPr>
          <w:cantSplit/>
        </w:trPr>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2E38B467" w14:textId="53B43461" w:rsidR="005339D0" w:rsidRPr="000974AD" w:rsidRDefault="005339D0" w:rsidP="005339D0">
            <w:pPr>
              <w:pStyle w:val="Table"/>
            </w:pPr>
            <w:r w:rsidRPr="00174DC2">
              <w:t>Include climate resilient design and management into the operation, repair, and renovation of existing agency buildings and the design of new buildings</w:t>
            </w:r>
            <w:r>
              <w:t>.</w:t>
            </w:r>
            <w:r w:rsidRPr="00174DC2">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732B5F7" w14:textId="38F549BF" w:rsidR="005339D0" w:rsidRPr="006F131A" w:rsidRDefault="005339D0" w:rsidP="005339D0">
            <w:pPr>
              <w:pStyle w:val="Table"/>
            </w:pPr>
            <w:r w:rsidRPr="006F131A">
              <w:rPr>
                <w:rFonts w:cs="Times New Roman"/>
              </w:rPr>
              <w:t xml:space="preserve">We include </w:t>
            </w:r>
            <w:r w:rsidRPr="006F131A">
              <w:t>climate resilient design as part of asset planning at our facility in California (seismic retrofit) that will conform to GSA’s Seismic Requirements for Leased Buildings</w:t>
            </w:r>
            <w:r w:rsidR="00072940" w:rsidRPr="006F131A">
              <w:t>.</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0F7B90F0" w14:textId="4677916B" w:rsidR="005339D0" w:rsidRPr="006F131A" w:rsidRDefault="00072940" w:rsidP="005339D0">
            <w:pPr>
              <w:pStyle w:val="Table"/>
            </w:pPr>
            <w:r w:rsidRPr="006F131A">
              <w:t>Continued assessment of climate resilient design in future asset planning.</w:t>
            </w:r>
          </w:p>
        </w:tc>
      </w:tr>
      <w:tr w:rsidR="00072940" w:rsidRPr="00174DC2" w14:paraId="726CF0E6" w14:textId="77777777" w:rsidTr="008B49FF">
        <w:trPr>
          <w:cantSplit/>
        </w:trPr>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246C0D02" w14:textId="4DBD1509" w:rsidR="00072940" w:rsidRPr="00174DC2" w:rsidRDefault="00072940" w:rsidP="00072940">
            <w:pPr>
              <w:pStyle w:val="Table"/>
            </w:pPr>
            <w:r w:rsidRPr="00174DC2">
              <w:rPr>
                <w:rFonts w:eastAsia="Times New Roman" w:cs="Times New Roman"/>
              </w:rPr>
              <w:t>Incorporate green building specifications into all new construction</w:t>
            </w:r>
            <w:r>
              <w:rPr>
                <w:rFonts w:eastAsia="Times New Roman" w:cs="Times New Roman"/>
              </w:rPr>
              <w:t>, modernization,</w:t>
            </w:r>
            <w:r w:rsidRPr="00174DC2">
              <w:rPr>
                <w:rFonts w:eastAsia="Times New Roman" w:cs="Times New Roman"/>
              </w:rPr>
              <w:t xml:space="preserve"> and major renovation projects.</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7989A" w14:textId="3B298392" w:rsidR="00072940" w:rsidRPr="006F131A" w:rsidRDefault="00072940" w:rsidP="00072940">
            <w:pPr>
              <w:pStyle w:val="Table"/>
            </w:pPr>
            <w:r w:rsidRPr="006F131A">
              <w:t xml:space="preserve">Any </w:t>
            </w:r>
            <w:r w:rsidRPr="006F131A">
              <w:rPr>
                <w:rFonts w:eastAsia="Times New Roman" w:cs="Times New Roman"/>
              </w:rPr>
              <w:t>new construction, modernization, and major renovation projects performed on behalf of SSA is handled by GSA.  Should any such activities occur in the future, w</w:t>
            </w:r>
            <w:r w:rsidRPr="006F131A">
              <w:t>e will work with GSA to incorporate green building specifications.</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14:paraId="51562F99" w14:textId="46809410" w:rsidR="00072940" w:rsidRPr="006F131A" w:rsidRDefault="00072940" w:rsidP="00072940">
            <w:pPr>
              <w:pStyle w:val="Table"/>
            </w:pPr>
            <w:r w:rsidRPr="006F131A">
              <w:rPr>
                <w:rFonts w:eastAsia="Times New Roman" w:cs="Times New Roman"/>
              </w:rPr>
              <w:t>Green building specifications incorporated into any new construction and major renovation projects done for SSA by GSA, if GSA concurs.</w:t>
            </w:r>
          </w:p>
        </w:tc>
      </w:tr>
      <w:tr w:rsidR="00072940" w:rsidRPr="00174DC2" w14:paraId="788DC4C6" w14:textId="77777777" w:rsidTr="008B49FF">
        <w:trPr>
          <w:cantSplit/>
        </w:trPr>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362AAB32" w14:textId="650F4275" w:rsidR="00072940" w:rsidRPr="00E86656" w:rsidRDefault="00072940" w:rsidP="00072940">
            <w:pPr>
              <w:pStyle w:val="Table"/>
              <w:rPr>
                <w:rFonts w:eastAsia="Times New Roman" w:cs="Times New Roman"/>
                <w:bCs/>
              </w:rPr>
            </w:pPr>
            <w:r>
              <w:rPr>
                <w:rFonts w:cs="Times New Roman"/>
              </w:rPr>
              <w:t xml:space="preserve">Implement programs on occupant health and well-being in accordance with the </w:t>
            </w:r>
            <w:r w:rsidRPr="002577D0">
              <w:rPr>
                <w:rFonts w:cs="Times New Roman"/>
                <w:i/>
              </w:rPr>
              <w:t>Guiding Principles</w:t>
            </w:r>
            <w:r>
              <w:rPr>
                <w:rFonts w:cs="Times New Roman"/>
                <w:i/>
              </w:rPr>
              <w:t>.</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33E6B" w14:textId="7AFDA077" w:rsidR="00072940" w:rsidRPr="006F131A" w:rsidRDefault="00072940" w:rsidP="00072940">
            <w:pPr>
              <w:pStyle w:val="Table"/>
            </w:pPr>
            <w:r w:rsidRPr="006F131A">
              <w:t>We have installed bottle-filling stations in buildings on the HQ campus to promote easier access to potable water and to reduce water waste and bottle recycling.</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BE5348" w14:textId="0026A186" w:rsidR="00072940" w:rsidRPr="006F131A" w:rsidRDefault="00072940" w:rsidP="00072940">
            <w:pPr>
              <w:pStyle w:val="Table"/>
            </w:pPr>
            <w:r w:rsidRPr="006F131A">
              <w:t>We will continue to assess the needs for additional bottle filling stations throughout the campus.</w:t>
            </w:r>
          </w:p>
        </w:tc>
      </w:tr>
    </w:tbl>
    <w:p w14:paraId="4AA009A9" w14:textId="77777777" w:rsidR="00EE4C25" w:rsidRDefault="00EE4C25" w:rsidP="00EE4C25">
      <w:pPr>
        <w:rPr>
          <w:rFonts w:eastAsiaTheme="majorEastAsia" w:cs="Times New Roman"/>
          <w:b/>
          <w:szCs w:val="24"/>
        </w:rPr>
      </w:pPr>
    </w:p>
    <w:p w14:paraId="00F8AAF5" w14:textId="77777777" w:rsidR="00E52A85" w:rsidRDefault="00E52A85">
      <w:pPr>
        <w:widowControl w:val="0"/>
        <w:spacing w:after="200" w:line="276" w:lineRule="auto"/>
        <w:rPr>
          <w:b/>
          <w:sz w:val="28"/>
          <w:szCs w:val="36"/>
        </w:rPr>
      </w:pPr>
      <w:bookmarkStart w:id="40" w:name="_Toc441069289"/>
      <w:r>
        <w:br w:type="page"/>
      </w:r>
    </w:p>
    <w:p w14:paraId="3B7DBC6E" w14:textId="0F06ABB6" w:rsidR="00A823A5" w:rsidRPr="00A823A5" w:rsidRDefault="00A42ECC" w:rsidP="00BD722F">
      <w:pPr>
        <w:pStyle w:val="Heading2"/>
      </w:pPr>
      <w:bookmarkStart w:id="41" w:name="_Toc486579598"/>
      <w:r w:rsidRPr="00174DC2">
        <w:t>Goal 3: Clean &amp; Renewable Energy</w:t>
      </w:r>
      <w:bookmarkEnd w:id="40"/>
      <w:bookmarkEnd w:id="41"/>
    </w:p>
    <w:p w14:paraId="2151DD4F" w14:textId="1320AD06" w:rsidR="00A42ECC" w:rsidRPr="00174DC2" w:rsidRDefault="00A42ECC" w:rsidP="00A42ECC">
      <w:pPr>
        <w:pStyle w:val="Heading3"/>
      </w:pPr>
      <w:bookmarkStart w:id="42" w:name="_Toc441069290"/>
      <w:bookmarkStart w:id="43" w:name="_Toc444272894"/>
      <w:r w:rsidRPr="00174DC2">
        <w:t xml:space="preserve">Clean Energy </w:t>
      </w:r>
      <w:bookmarkEnd w:id="42"/>
      <w:r w:rsidR="009B1FED">
        <w:t>Goal</w:t>
      </w:r>
      <w:bookmarkEnd w:id="43"/>
    </w:p>
    <w:p w14:paraId="5CA3EDB3" w14:textId="3B2E6D50" w:rsidR="00A42ECC" w:rsidRDefault="00A42ECC" w:rsidP="00280EDB">
      <w:r w:rsidRPr="00174DC2">
        <w:t xml:space="preserve">E.O. 13693 </w:t>
      </w:r>
      <w:r>
        <w:t xml:space="preserve">Section </w:t>
      </w:r>
      <w:r w:rsidRPr="00174DC2">
        <w:t xml:space="preserve">3(b) requires that, at a minimum, the percentage of an agency's total electric and thermal energy accounted for by </w:t>
      </w:r>
      <w:r w:rsidR="00735DC5">
        <w:t xml:space="preserve">clean energy (i.e., </w:t>
      </w:r>
      <w:r w:rsidRPr="00174DC2">
        <w:t>renewable and alternative energy</w:t>
      </w:r>
      <w:r w:rsidR="00735DC5">
        <w:t>)</w:t>
      </w:r>
      <w:r w:rsidRPr="00174DC2">
        <w:t xml:space="preserve"> shall be not less than: 10% in </w:t>
      </w:r>
      <w:r>
        <w:t>FY </w:t>
      </w:r>
      <w:r w:rsidRPr="00174DC2">
        <w:t xml:space="preserve">2016-17; 13% in </w:t>
      </w:r>
      <w:r>
        <w:t>FY </w:t>
      </w:r>
      <w:r w:rsidRPr="00174DC2">
        <w:t xml:space="preserve">2018-19; 16% in </w:t>
      </w:r>
      <w:r>
        <w:t>FY </w:t>
      </w:r>
      <w:r w:rsidRPr="00174DC2">
        <w:t xml:space="preserve">2020-21; 20% in </w:t>
      </w:r>
      <w:r>
        <w:t>FY </w:t>
      </w:r>
      <w:r w:rsidRPr="00174DC2">
        <w:t xml:space="preserve">2022-23; and 25% by </w:t>
      </w:r>
      <w:r>
        <w:t>FY </w:t>
      </w:r>
      <w:r w:rsidRPr="00174DC2">
        <w:t>2025.</w:t>
      </w:r>
    </w:p>
    <w:p w14:paraId="34E3CC67" w14:textId="23D091A1" w:rsidR="00735DC5" w:rsidRDefault="00735DC5" w:rsidP="00735DC5">
      <w:pPr>
        <w:pStyle w:val="Heading3"/>
      </w:pPr>
      <w:r>
        <w:t>Chart</w:t>
      </w:r>
      <w:r w:rsidRPr="008D263C">
        <w:t xml:space="preserve">: </w:t>
      </w:r>
      <w:r>
        <w:t xml:space="preserve">Use of Clean Energy as a Percentage of Total Electric Energy and Thermal Energy </w:t>
      </w:r>
    </w:p>
    <w:p w14:paraId="50B41A26" w14:textId="3C3B9DB3" w:rsidR="00735DC5" w:rsidRPr="00174DC2" w:rsidRDefault="00350CB8" w:rsidP="00350CB8">
      <w:pPr>
        <w:pStyle w:val="Heading3"/>
        <w:jc w:val="center"/>
      </w:pPr>
      <w:r>
        <w:rPr>
          <w:noProof/>
        </w:rPr>
        <w:drawing>
          <wp:inline distT="0" distB="0" distL="0" distR="0" wp14:anchorId="4BE4F5E7" wp14:editId="29BA8B6A">
            <wp:extent cx="5943600" cy="47351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735195"/>
                    </a:xfrm>
                    <a:prstGeom prst="rect">
                      <a:avLst/>
                    </a:prstGeom>
                  </pic:spPr>
                </pic:pic>
              </a:graphicData>
            </a:graphic>
          </wp:inline>
        </w:drawing>
      </w:r>
    </w:p>
    <w:p w14:paraId="17E2C93E" w14:textId="57AE4947" w:rsidR="00A42ECC" w:rsidRPr="00174DC2" w:rsidRDefault="00A42ECC" w:rsidP="00A42ECC">
      <w:pPr>
        <w:pStyle w:val="Heading3"/>
      </w:pPr>
      <w:bookmarkStart w:id="44" w:name="_Toc441069291"/>
      <w:bookmarkStart w:id="45" w:name="_Toc444272895"/>
      <w:r w:rsidRPr="00174DC2">
        <w:t xml:space="preserve">Renewable </w:t>
      </w:r>
      <w:r w:rsidR="009B1FED">
        <w:t>Electric Energy Goal</w:t>
      </w:r>
      <w:bookmarkEnd w:id="44"/>
      <w:bookmarkEnd w:id="45"/>
    </w:p>
    <w:p w14:paraId="724F017F" w14:textId="4FFBC058" w:rsidR="00A42ECC" w:rsidRDefault="00A42ECC" w:rsidP="00280EDB">
      <w:r w:rsidRPr="00174DC2">
        <w:t xml:space="preserve">E.O. 13693 </w:t>
      </w:r>
      <w:r>
        <w:t xml:space="preserve">Section </w:t>
      </w:r>
      <w:r w:rsidRPr="00174DC2">
        <w:t xml:space="preserve">3(c) requires that renewable energy account for not less than 10% of total electric energy consumed by an agency in </w:t>
      </w:r>
      <w:r>
        <w:t>FY </w:t>
      </w:r>
      <w:r w:rsidRPr="00174DC2">
        <w:t xml:space="preserve">2016-17; 15% in </w:t>
      </w:r>
      <w:r>
        <w:t>FY </w:t>
      </w:r>
      <w:r w:rsidRPr="00174DC2">
        <w:t xml:space="preserve">2018-19; 20% in </w:t>
      </w:r>
      <w:r>
        <w:t>FY </w:t>
      </w:r>
      <w:r w:rsidRPr="00174DC2">
        <w:t xml:space="preserve">2020-21; 25% in </w:t>
      </w:r>
      <w:r>
        <w:t>FY </w:t>
      </w:r>
      <w:r w:rsidRPr="00174DC2">
        <w:t xml:space="preserve">2022-23; and 30% by 2025.  </w:t>
      </w:r>
    </w:p>
    <w:p w14:paraId="7C50D826" w14:textId="77777777" w:rsidR="00EA758E" w:rsidRDefault="00981B37" w:rsidP="00EA758E">
      <w:pPr>
        <w:pStyle w:val="Heading3"/>
      </w:pPr>
      <w:r>
        <w:t>Chart</w:t>
      </w:r>
      <w:r w:rsidR="008D263C" w:rsidRPr="008D263C">
        <w:t xml:space="preserve">: </w:t>
      </w:r>
      <w:r w:rsidR="00EA758E">
        <w:t xml:space="preserve">Use of Renewable Energy as a Percentage of Total Electric Energy </w:t>
      </w:r>
    </w:p>
    <w:p w14:paraId="018160D0" w14:textId="3678597A" w:rsidR="00A42ECC" w:rsidRDefault="00350CB8" w:rsidP="00EA758E">
      <w:pPr>
        <w:pStyle w:val="Heading3"/>
        <w:jc w:val="center"/>
      </w:pPr>
      <w:r>
        <w:rPr>
          <w:noProof/>
        </w:rPr>
        <w:drawing>
          <wp:inline distT="0" distB="0" distL="0" distR="0" wp14:anchorId="420D71FD" wp14:editId="18DADA7E">
            <wp:extent cx="5943600" cy="4735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4735195"/>
                    </a:xfrm>
                    <a:prstGeom prst="rect">
                      <a:avLst/>
                    </a:prstGeom>
                  </pic:spPr>
                </pic:pic>
              </a:graphicData>
            </a:graphic>
          </wp:inline>
        </w:drawing>
      </w:r>
    </w:p>
    <w:p w14:paraId="14AABAA9" w14:textId="1A139C6D" w:rsidR="00203C80" w:rsidRPr="00F50712" w:rsidRDefault="008B49FF" w:rsidP="00203C80">
      <w:pPr>
        <w:spacing w:after="160" w:line="259" w:lineRule="auto"/>
        <w:rPr>
          <w:rFonts w:cs="Times New Roman"/>
          <w:color w:val="FF0000"/>
          <w:szCs w:val="24"/>
        </w:rPr>
      </w:pPr>
      <w:r w:rsidRPr="00F50712">
        <w:rPr>
          <w:color w:val="FF0000"/>
          <w:szCs w:val="24"/>
        </w:rPr>
        <w:t>SSA is</w:t>
      </w:r>
      <w:r w:rsidR="00350CB8" w:rsidRPr="00F50712">
        <w:rPr>
          <w:color w:val="FF0000"/>
          <w:szCs w:val="24"/>
        </w:rPr>
        <w:t xml:space="preserve"> proud to have had 22.7 percent of our total electricity consumption come from renewable sources in FY 2016, exceeding the goal of 10 </w:t>
      </w:r>
      <w:r w:rsidR="00350CB8" w:rsidRPr="00F50712">
        <w:rPr>
          <w:color w:val="FF0000"/>
        </w:rPr>
        <w:t>percent.</w:t>
      </w:r>
      <w:r w:rsidR="00203C80" w:rsidRPr="00F50712">
        <w:rPr>
          <w:color w:val="FF0000"/>
        </w:rPr>
        <w:t xml:space="preserve"> </w:t>
      </w:r>
      <w:r w:rsidRPr="00F50712">
        <w:rPr>
          <w:color w:val="FF0000"/>
        </w:rPr>
        <w:t>However, d</w:t>
      </w:r>
      <w:r w:rsidR="00350CB8" w:rsidRPr="00F50712">
        <w:rPr>
          <w:color w:val="FF0000"/>
        </w:rPr>
        <w:t>ue to lack of funding, infeasibility, and extremely long return on investment values for on-site renewable projects, SSA will not use between 4 and 7 of the strategies the table below.</w:t>
      </w:r>
    </w:p>
    <w:p w14:paraId="49112CF6" w14:textId="16274BD6" w:rsidR="00EE4C25" w:rsidRPr="002E2CB8" w:rsidRDefault="00EE4C25" w:rsidP="00EE4C25">
      <w:pPr>
        <w:pStyle w:val="Heading3"/>
        <w:rPr>
          <w:b w:val="0"/>
          <w:i/>
        </w:rPr>
      </w:pPr>
      <w:bookmarkStart w:id="46" w:name="_Toc444272896"/>
      <w:r>
        <w:t>Clean and Renewable Energy Strategies</w:t>
      </w:r>
      <w:bookmarkEnd w:id="46"/>
      <w:r w:rsidR="003B6468">
        <w:t xml:space="preserve"> for Fiscal Year 2018</w:t>
      </w:r>
      <w:r w:rsidR="00B32BCC">
        <w:t xml:space="preserve"> </w:t>
      </w:r>
    </w:p>
    <w:tbl>
      <w:tblPr>
        <w:tblW w:w="4958" w:type="pct"/>
        <w:tblLayout w:type="fixed"/>
        <w:tblCellMar>
          <w:left w:w="0" w:type="dxa"/>
          <w:right w:w="0" w:type="dxa"/>
        </w:tblCellMar>
        <w:tblLook w:val="01E0" w:firstRow="1" w:lastRow="1" w:firstColumn="1" w:lastColumn="1" w:noHBand="0" w:noVBand="0"/>
      </w:tblPr>
      <w:tblGrid>
        <w:gridCol w:w="2785"/>
        <w:gridCol w:w="4410"/>
        <w:gridCol w:w="2790"/>
      </w:tblGrid>
      <w:tr w:rsidR="002E2CB8" w:rsidRPr="00EB49B5" w14:paraId="41E4DDD4" w14:textId="77777777" w:rsidTr="008B49FF">
        <w:trPr>
          <w:cantSplit/>
          <w:tblHeader/>
        </w:trPr>
        <w:tc>
          <w:tcPr>
            <w:tcW w:w="27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00DCA9" w14:textId="77777777" w:rsidR="002E2CB8" w:rsidRPr="00EB49B5" w:rsidRDefault="002E2CB8" w:rsidP="002E256D">
            <w:pPr>
              <w:pStyle w:val="Table"/>
              <w:jc w:val="center"/>
              <w:rPr>
                <w:b/>
              </w:rPr>
            </w:pPr>
            <w:r w:rsidRPr="00EB49B5">
              <w:rPr>
                <w:b/>
              </w:rPr>
              <w:t>Strategy</w:t>
            </w:r>
          </w:p>
        </w:tc>
        <w:tc>
          <w:tcPr>
            <w:tcW w:w="4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F461E1" w14:textId="77777777" w:rsidR="002E2CB8" w:rsidRPr="00EB49B5" w:rsidRDefault="002E2CB8" w:rsidP="002E256D">
            <w:pPr>
              <w:pStyle w:val="Table"/>
              <w:jc w:val="center"/>
              <w:rPr>
                <w:b/>
              </w:rPr>
            </w:pPr>
            <w:r>
              <w:rPr>
                <w:b/>
              </w:rPr>
              <w:t>Strategy Narrative</w:t>
            </w:r>
          </w:p>
        </w:tc>
        <w:tc>
          <w:tcPr>
            <w:tcW w:w="27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5BEECB" w14:textId="77777777" w:rsidR="002E2CB8" w:rsidRPr="00EB49B5" w:rsidRDefault="002E2CB8" w:rsidP="002E256D">
            <w:pPr>
              <w:pStyle w:val="Table"/>
              <w:jc w:val="center"/>
              <w:rPr>
                <w:b/>
              </w:rPr>
            </w:pPr>
            <w:r>
              <w:rPr>
                <w:b/>
              </w:rPr>
              <w:t>Targets and Metrics</w:t>
            </w:r>
          </w:p>
        </w:tc>
      </w:tr>
      <w:tr w:rsidR="00350CB8" w:rsidRPr="00174DC2" w14:paraId="76DD279F" w14:textId="77777777" w:rsidTr="0001243E">
        <w:trPr>
          <w:cantSplit/>
        </w:trPr>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61BE16C4" w14:textId="1A3BE116" w:rsidR="00350CB8" w:rsidRPr="00174DC2" w:rsidRDefault="00350CB8" w:rsidP="0001243E">
            <w:pPr>
              <w:pStyle w:val="Table"/>
            </w:pPr>
            <w:r w:rsidRPr="00174DC2">
              <w:t>Install on-site combined heat and power processe</w:t>
            </w:r>
            <w:r>
              <w:t xml:space="preserve">s. </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3C63F227" w14:textId="2C42B218" w:rsidR="00350CB8" w:rsidRPr="006F131A" w:rsidRDefault="00350CB8" w:rsidP="0001243E">
            <w:pPr>
              <w:pStyle w:val="Table"/>
            </w:pPr>
            <w:r w:rsidRPr="006F131A">
              <w:t xml:space="preserve">Following discussions on combined heat and power at our energy meetings, we </w:t>
            </w:r>
            <w:r w:rsidR="00CD2041" w:rsidRPr="006F131A">
              <w:t>will move forward with a CHP design in</w:t>
            </w:r>
            <w:r w:rsidRPr="006F131A">
              <w:t xml:space="preserve"> FY 2018.</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14D8B12" w14:textId="6D5A299D" w:rsidR="00350CB8" w:rsidRPr="006F131A" w:rsidRDefault="00CD2041" w:rsidP="0001243E">
            <w:pPr>
              <w:pStyle w:val="Table"/>
            </w:pPr>
            <w:r w:rsidRPr="006F131A">
              <w:t xml:space="preserve">Begin design of new SSA CHP facility. </w:t>
            </w:r>
          </w:p>
        </w:tc>
      </w:tr>
      <w:tr w:rsidR="00350CB8" w:rsidRPr="00174DC2" w14:paraId="2C2FD870" w14:textId="77777777" w:rsidTr="0001243E">
        <w:trPr>
          <w:cantSplit/>
        </w:trPr>
        <w:tc>
          <w:tcPr>
            <w:tcW w:w="2785" w:type="dxa"/>
            <w:tcBorders>
              <w:top w:val="single" w:sz="4" w:space="0" w:color="000000"/>
              <w:left w:val="single" w:sz="4" w:space="0" w:color="000000"/>
              <w:bottom w:val="single" w:sz="4" w:space="0" w:color="000000"/>
              <w:right w:val="single" w:sz="4" w:space="0" w:color="000000"/>
            </w:tcBorders>
          </w:tcPr>
          <w:p w14:paraId="0E70EF0C" w14:textId="12436EA3" w:rsidR="00350CB8" w:rsidRPr="00174DC2" w:rsidRDefault="00350CB8" w:rsidP="0001243E">
            <w:pPr>
              <w:pStyle w:val="Table"/>
            </w:pPr>
            <w:r w:rsidRPr="006F131A">
              <w:t>Purchase electricity and corresponding RECs or obtain equal value replacement RECs.</w:t>
            </w:r>
          </w:p>
        </w:tc>
        <w:tc>
          <w:tcPr>
            <w:tcW w:w="4410" w:type="dxa"/>
            <w:tcBorders>
              <w:top w:val="single" w:sz="4" w:space="0" w:color="000000"/>
              <w:left w:val="single" w:sz="4" w:space="0" w:color="000000"/>
              <w:bottom w:val="single" w:sz="4" w:space="0" w:color="000000"/>
              <w:right w:val="single" w:sz="4" w:space="0" w:color="000000"/>
            </w:tcBorders>
          </w:tcPr>
          <w:p w14:paraId="21E1E574" w14:textId="6ADC97F3" w:rsidR="00350CB8" w:rsidRPr="006F131A" w:rsidRDefault="00350CB8" w:rsidP="0001243E">
            <w:pPr>
              <w:pStyle w:val="Table"/>
            </w:pPr>
            <w:r w:rsidRPr="006F131A">
              <w:rPr>
                <w:rFonts w:cs="Times New Roman"/>
              </w:rPr>
              <w:t>We include green energy purchases (electricity from renewable sources plus the associated RECs) as part of our electricity purchases to meet annual targets for renewable energy.  As electrical contracts expire, we will continue to purchase electricity and their associated RECs.</w:t>
            </w:r>
          </w:p>
        </w:tc>
        <w:tc>
          <w:tcPr>
            <w:tcW w:w="2790" w:type="dxa"/>
            <w:tcBorders>
              <w:top w:val="single" w:sz="4" w:space="0" w:color="000000"/>
              <w:left w:val="single" w:sz="4" w:space="0" w:color="000000"/>
              <w:bottom w:val="single" w:sz="4" w:space="0" w:color="000000"/>
              <w:right w:val="single" w:sz="4" w:space="0" w:color="000000"/>
            </w:tcBorders>
          </w:tcPr>
          <w:p w14:paraId="722C651C" w14:textId="61CD0B9D" w:rsidR="00350CB8" w:rsidRPr="006F131A" w:rsidRDefault="00350CB8" w:rsidP="0001243E">
            <w:pPr>
              <w:pStyle w:val="Table"/>
            </w:pPr>
            <w:r w:rsidRPr="006F131A">
              <w:rPr>
                <w:rFonts w:cs="Times New Roman"/>
              </w:rPr>
              <w:t>Continued purchase of electricity and associated RECs via GSA.</w:t>
            </w:r>
          </w:p>
        </w:tc>
      </w:tr>
    </w:tbl>
    <w:p w14:paraId="7E7D6B25" w14:textId="1DC53194" w:rsidR="00E52A85" w:rsidRDefault="00E52A85">
      <w:pPr>
        <w:widowControl w:val="0"/>
        <w:spacing w:after="200" w:line="276" w:lineRule="auto"/>
        <w:rPr>
          <w:b/>
          <w:sz w:val="28"/>
          <w:szCs w:val="36"/>
        </w:rPr>
      </w:pPr>
      <w:bookmarkStart w:id="47" w:name="_Toc441069292"/>
    </w:p>
    <w:p w14:paraId="07FEA395" w14:textId="1A58BD75" w:rsidR="00A823A5" w:rsidRPr="00A823A5" w:rsidRDefault="00A42ECC" w:rsidP="00BD722F">
      <w:pPr>
        <w:pStyle w:val="Heading2"/>
      </w:pPr>
      <w:bookmarkStart w:id="48" w:name="_Toc486579599"/>
      <w:r w:rsidRPr="00A42ECC">
        <w:t>Goal 4: Water Use Efficiency &amp; Management</w:t>
      </w:r>
      <w:bookmarkEnd w:id="47"/>
      <w:bookmarkEnd w:id="48"/>
    </w:p>
    <w:p w14:paraId="5C09CF02" w14:textId="61611162" w:rsidR="00A42ECC" w:rsidRDefault="00A42ECC" w:rsidP="00A42ECC">
      <w:pPr>
        <w:pStyle w:val="Heading3"/>
      </w:pPr>
      <w:bookmarkStart w:id="49" w:name="_Toc441069293"/>
      <w:bookmarkStart w:id="50" w:name="_Toc444272898"/>
      <w:r>
        <w:t xml:space="preserve">Potable Water Consumption Intensity </w:t>
      </w:r>
      <w:bookmarkEnd w:id="49"/>
      <w:r w:rsidR="004066DC">
        <w:t>Goal</w:t>
      </w:r>
      <w:bookmarkEnd w:id="50"/>
    </w:p>
    <w:p w14:paraId="7F577510" w14:textId="0233D944" w:rsidR="00A42ECC" w:rsidRDefault="00A42ECC" w:rsidP="00A42ECC">
      <w:r>
        <w:t>E.O. 13693 Section 3(f) states that agencies must improve water use efficiency and management, including stormwater management, and requires agencies to reduce potable water consumption intensity, measured in gallons per square foot, by 2% annually through FY 2025 relative to an FY 2007 baseline. A 36% reduction is required by FY 2025.</w:t>
      </w:r>
    </w:p>
    <w:p w14:paraId="5932D1E2" w14:textId="70431A51" w:rsidR="00A42ECC" w:rsidRDefault="00A42ECC" w:rsidP="00A42ECC">
      <w:pPr>
        <w:pStyle w:val="Heading3"/>
      </w:pPr>
      <w:bookmarkStart w:id="51" w:name="_Toc441069294"/>
      <w:bookmarkStart w:id="52" w:name="_Toc444272899"/>
      <w:r>
        <w:t xml:space="preserve">Industrial, Landscaping and Agricultural (ILA) Water </w:t>
      </w:r>
      <w:bookmarkEnd w:id="51"/>
      <w:r w:rsidR="004066DC">
        <w:t>Goal</w:t>
      </w:r>
      <w:bookmarkEnd w:id="52"/>
    </w:p>
    <w:p w14:paraId="4761AEC0" w14:textId="43B64DE6" w:rsidR="00A42ECC" w:rsidRDefault="00A42ECC" w:rsidP="00A42ECC">
      <w:r>
        <w:t>E.O. 13693 section 3(f) also requires that agencies reduce ILA water consumption, measured in gallons, by 2% annually through FY 2025 relative to a FY 2010 baseline.</w:t>
      </w:r>
    </w:p>
    <w:p w14:paraId="027B522D" w14:textId="6E0E0A04" w:rsidR="000F15DE" w:rsidRPr="008D263C" w:rsidRDefault="00981B37" w:rsidP="00EA758E">
      <w:pPr>
        <w:pStyle w:val="Heading3"/>
      </w:pPr>
      <w:r>
        <w:t>Chart</w:t>
      </w:r>
      <w:r w:rsidR="000F15DE" w:rsidRPr="008D263C">
        <w:t xml:space="preserve">: Progress Toward </w:t>
      </w:r>
      <w:r w:rsidR="000F15DE">
        <w:t>the Potable Water Intensity Reduction Goal</w:t>
      </w:r>
    </w:p>
    <w:p w14:paraId="35DAB007" w14:textId="67D523BE" w:rsidR="00A42ECC" w:rsidRDefault="00350CB8" w:rsidP="00350CB8">
      <w:r>
        <w:rPr>
          <w:noProof/>
        </w:rPr>
        <w:drawing>
          <wp:inline distT="0" distB="0" distL="0" distR="0" wp14:anchorId="76C917A5" wp14:editId="1B9D1D2A">
            <wp:extent cx="5943600" cy="47351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735195"/>
                    </a:xfrm>
                    <a:prstGeom prst="rect">
                      <a:avLst/>
                    </a:prstGeom>
                  </pic:spPr>
                </pic:pic>
              </a:graphicData>
            </a:graphic>
          </wp:inline>
        </w:drawing>
      </w:r>
    </w:p>
    <w:p w14:paraId="688B3EA9" w14:textId="10E0E35A" w:rsidR="00203C80" w:rsidRPr="00F50712" w:rsidRDefault="008B49FF" w:rsidP="00203C80">
      <w:pPr>
        <w:spacing w:after="160" w:line="259" w:lineRule="auto"/>
        <w:rPr>
          <w:rFonts w:cs="Times New Roman"/>
          <w:color w:val="FF0000"/>
          <w:szCs w:val="24"/>
        </w:rPr>
      </w:pPr>
      <w:r w:rsidRPr="00F50712">
        <w:rPr>
          <w:color w:val="FF0000"/>
        </w:rPr>
        <w:t>SSA is</w:t>
      </w:r>
      <w:r w:rsidR="00416913" w:rsidRPr="00F50712">
        <w:rPr>
          <w:color w:val="FF0000"/>
        </w:rPr>
        <w:t xml:space="preserve"> proud to have exceeded the FY 2016 potable water intensity goal of 18</w:t>
      </w:r>
      <w:r w:rsidR="005F417C" w:rsidRPr="005F417C">
        <w:t xml:space="preserve"> </w:t>
      </w:r>
      <w:r w:rsidR="005F417C" w:rsidRPr="005F417C">
        <w:rPr>
          <w:color w:val="FF0000"/>
        </w:rPr>
        <w:t>percent</w:t>
      </w:r>
      <w:r w:rsidR="00416913" w:rsidRPr="00F50712">
        <w:rPr>
          <w:color w:val="FF0000"/>
        </w:rPr>
        <w:t xml:space="preserve"> reduction achieving a 49</w:t>
      </w:r>
      <w:r w:rsidR="005F417C">
        <w:rPr>
          <w:color w:val="FF0000"/>
        </w:rPr>
        <w:t xml:space="preserve"> percent</w:t>
      </w:r>
      <w:r w:rsidR="00416913" w:rsidRPr="00F50712">
        <w:rPr>
          <w:color w:val="FF0000"/>
        </w:rPr>
        <w:t xml:space="preserve"> reduction against the FY 2007 baseline.  We will continue to evaluate opportunities to increase our water usage efficiency.</w:t>
      </w:r>
      <w:r w:rsidR="00203C80" w:rsidRPr="00F50712">
        <w:rPr>
          <w:rFonts w:cs="Times New Roman"/>
          <w:color w:val="FF0000"/>
          <w:szCs w:val="24"/>
        </w:rPr>
        <w:t xml:space="preserve">  </w:t>
      </w:r>
    </w:p>
    <w:p w14:paraId="282729B8" w14:textId="387E1F07" w:rsidR="00733DF2" w:rsidRPr="002E2CB8" w:rsidRDefault="00733DF2" w:rsidP="00733DF2">
      <w:pPr>
        <w:pStyle w:val="Heading3"/>
        <w:rPr>
          <w:b w:val="0"/>
          <w:i/>
        </w:rPr>
      </w:pPr>
      <w:bookmarkStart w:id="53" w:name="_Toc444272900"/>
      <w:r>
        <w:t>Water Use Efficiency &amp; Management Strategies</w:t>
      </w:r>
      <w:bookmarkEnd w:id="53"/>
      <w:r w:rsidR="003B6468">
        <w:t xml:space="preserve"> for Fiscal Year 2018</w:t>
      </w:r>
      <w:r w:rsidR="00B32BCC">
        <w:t xml:space="preserve"> </w:t>
      </w:r>
    </w:p>
    <w:tbl>
      <w:tblPr>
        <w:tblW w:w="5000" w:type="pct"/>
        <w:tblLayout w:type="fixed"/>
        <w:tblCellMar>
          <w:left w:w="0" w:type="dxa"/>
          <w:right w:w="0" w:type="dxa"/>
        </w:tblCellMar>
        <w:tblLook w:val="01E0" w:firstRow="1" w:lastRow="1" w:firstColumn="1" w:lastColumn="1" w:noHBand="0" w:noVBand="0"/>
      </w:tblPr>
      <w:tblGrid>
        <w:gridCol w:w="2515"/>
        <w:gridCol w:w="4680"/>
        <w:gridCol w:w="2875"/>
      </w:tblGrid>
      <w:tr w:rsidR="002E2CB8" w:rsidRPr="00EB49B5" w14:paraId="3C71AB3B" w14:textId="77777777" w:rsidTr="008B49FF">
        <w:trPr>
          <w:cantSplit/>
          <w:tblHeader/>
        </w:trPr>
        <w:tc>
          <w:tcPr>
            <w:tcW w:w="2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E4ECC4" w14:textId="77777777" w:rsidR="002E2CB8" w:rsidRPr="00EB49B5" w:rsidRDefault="002E2CB8" w:rsidP="002E256D">
            <w:pPr>
              <w:pStyle w:val="Table"/>
              <w:jc w:val="center"/>
              <w:rPr>
                <w:b/>
              </w:rPr>
            </w:pPr>
            <w:r w:rsidRPr="00EB49B5">
              <w:rPr>
                <w:b/>
              </w:rPr>
              <w:t>Strategy</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3C49587" w14:textId="77777777" w:rsidR="002E2CB8" w:rsidRPr="00EB49B5" w:rsidRDefault="002E2CB8" w:rsidP="002E256D">
            <w:pPr>
              <w:pStyle w:val="Table"/>
              <w:jc w:val="center"/>
              <w:rPr>
                <w:b/>
              </w:rPr>
            </w:pPr>
            <w:r>
              <w:rPr>
                <w:b/>
              </w:rPr>
              <w:t>Strategy Narrative</w:t>
            </w:r>
          </w:p>
        </w:tc>
        <w:tc>
          <w:tcPr>
            <w:tcW w:w="28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A91404" w14:textId="77777777" w:rsidR="002E2CB8" w:rsidRPr="00EB49B5" w:rsidRDefault="002E2CB8" w:rsidP="002E256D">
            <w:pPr>
              <w:pStyle w:val="Table"/>
              <w:jc w:val="center"/>
              <w:rPr>
                <w:b/>
              </w:rPr>
            </w:pPr>
            <w:r>
              <w:rPr>
                <w:b/>
              </w:rPr>
              <w:t>Targets and Metrics</w:t>
            </w:r>
          </w:p>
        </w:tc>
      </w:tr>
      <w:tr w:rsidR="00416913" w:rsidRPr="00174DC2" w14:paraId="10E28587" w14:textId="77777777" w:rsidTr="008B49FF">
        <w:trPr>
          <w:cantSplit/>
        </w:trPr>
        <w:tc>
          <w:tcPr>
            <w:tcW w:w="2515" w:type="dxa"/>
            <w:tcBorders>
              <w:top w:val="single" w:sz="4" w:space="0" w:color="000000"/>
              <w:left w:val="single" w:sz="4" w:space="0" w:color="000000"/>
              <w:bottom w:val="single" w:sz="4" w:space="0" w:color="000000"/>
              <w:right w:val="single" w:sz="4" w:space="0" w:color="000000"/>
            </w:tcBorders>
          </w:tcPr>
          <w:p w14:paraId="168D10EC" w14:textId="308FEF0A" w:rsidR="00416913" w:rsidRPr="00174DC2" w:rsidRDefault="00416913" w:rsidP="00416913">
            <w:pPr>
              <w:pStyle w:val="Table"/>
              <w:rPr>
                <w:rFonts w:cs="Times New Roman"/>
              </w:rPr>
            </w:pPr>
            <w:r>
              <w:rPr>
                <w:rFonts w:cs="Times New Roman"/>
              </w:rPr>
              <w:t xml:space="preserve">Install and monitor water meters and utilize data to advance water conservation and management. </w:t>
            </w:r>
          </w:p>
        </w:tc>
        <w:tc>
          <w:tcPr>
            <w:tcW w:w="4680" w:type="dxa"/>
            <w:tcBorders>
              <w:top w:val="single" w:sz="4" w:space="0" w:color="000000"/>
              <w:left w:val="single" w:sz="4" w:space="0" w:color="000000"/>
              <w:bottom w:val="single" w:sz="4" w:space="0" w:color="000000"/>
              <w:right w:val="single" w:sz="4" w:space="0" w:color="000000"/>
            </w:tcBorders>
          </w:tcPr>
          <w:p w14:paraId="68BC599D" w14:textId="386B3759" w:rsidR="00416913" w:rsidRPr="006F131A" w:rsidRDefault="00416913" w:rsidP="00416913">
            <w:pPr>
              <w:pStyle w:val="Table"/>
            </w:pPr>
            <w:r w:rsidRPr="006F131A">
              <w:rPr>
                <w:rFonts w:cs="Times New Roman"/>
              </w:rPr>
              <w:t xml:space="preserve">We have installed water metering for irrigation and potable water use.  We are performing advanced metering studies with GSA to determine if additional smart meters are required. </w:t>
            </w:r>
          </w:p>
        </w:tc>
        <w:tc>
          <w:tcPr>
            <w:tcW w:w="2875" w:type="dxa"/>
            <w:tcBorders>
              <w:top w:val="single" w:sz="4" w:space="0" w:color="000000"/>
              <w:left w:val="single" w:sz="4" w:space="0" w:color="000000"/>
              <w:bottom w:val="single" w:sz="4" w:space="0" w:color="000000"/>
              <w:right w:val="single" w:sz="4" w:space="0" w:color="000000"/>
            </w:tcBorders>
          </w:tcPr>
          <w:p w14:paraId="1CC6C78F" w14:textId="13E35028" w:rsidR="00416913" w:rsidRPr="006F131A" w:rsidRDefault="00416913" w:rsidP="00416913">
            <w:pPr>
              <w:pStyle w:val="Table"/>
            </w:pPr>
            <w:r w:rsidRPr="006F131A">
              <w:rPr>
                <w:rFonts w:cs="Times New Roman"/>
              </w:rPr>
              <w:t xml:space="preserve">Potable water intensity reduced by </w:t>
            </w:r>
            <w:r w:rsidR="008B49FF" w:rsidRPr="006F131A">
              <w:rPr>
                <w:rFonts w:cs="Times New Roman"/>
              </w:rPr>
              <w:t>at least 20 percent in FY 2017 and 22 percent in FY 2018 from the FY 2007 baseline</w:t>
            </w:r>
          </w:p>
        </w:tc>
      </w:tr>
      <w:tr w:rsidR="00416913" w:rsidRPr="00174DC2" w14:paraId="2B38EF7F" w14:textId="77777777" w:rsidTr="008B49FF">
        <w:trPr>
          <w:cantSplit/>
        </w:trPr>
        <w:tc>
          <w:tcPr>
            <w:tcW w:w="2515" w:type="dxa"/>
            <w:tcBorders>
              <w:top w:val="single" w:sz="4" w:space="0" w:color="000000"/>
              <w:left w:val="single" w:sz="4" w:space="0" w:color="000000"/>
              <w:bottom w:val="single" w:sz="4" w:space="0" w:color="000000"/>
              <w:right w:val="single" w:sz="4" w:space="0" w:color="000000"/>
            </w:tcBorders>
          </w:tcPr>
          <w:p w14:paraId="7DACF146" w14:textId="05C3AF8E" w:rsidR="00416913" w:rsidRPr="00174DC2" w:rsidRDefault="00416913" w:rsidP="00416913">
            <w:pPr>
              <w:pStyle w:val="Table"/>
              <w:rPr>
                <w:rFonts w:cs="Times New Roman"/>
              </w:rPr>
            </w:pPr>
            <w:r w:rsidRPr="00174DC2">
              <w:rPr>
                <w:rFonts w:cs="Times New Roman"/>
              </w:rPr>
              <w:t>Prepare and implement a water asset management plan to maintain desired level of ser</w:t>
            </w:r>
            <w:r>
              <w:rPr>
                <w:rFonts w:cs="Times New Roman"/>
              </w:rPr>
              <w:t>vice at lowest life cycle cost.</w:t>
            </w:r>
          </w:p>
        </w:tc>
        <w:tc>
          <w:tcPr>
            <w:tcW w:w="4680" w:type="dxa"/>
            <w:tcBorders>
              <w:top w:val="single" w:sz="4" w:space="0" w:color="000000"/>
              <w:left w:val="single" w:sz="4" w:space="0" w:color="000000"/>
              <w:bottom w:val="single" w:sz="4" w:space="0" w:color="000000"/>
              <w:right w:val="single" w:sz="4" w:space="0" w:color="000000"/>
            </w:tcBorders>
          </w:tcPr>
          <w:p w14:paraId="16037C6E" w14:textId="54EFF81A" w:rsidR="00416913" w:rsidRPr="006F131A" w:rsidRDefault="00416913" w:rsidP="00416913">
            <w:pPr>
              <w:pStyle w:val="Table"/>
            </w:pPr>
            <w:r w:rsidRPr="006F131A">
              <w:rPr>
                <w:rFonts w:cs="Times New Roman"/>
              </w:rPr>
              <w:t>Our current operations and maintenance program continues to use a water asset management plan to maintain desired level of service at lowest life cycle cost.</w:t>
            </w:r>
          </w:p>
        </w:tc>
        <w:tc>
          <w:tcPr>
            <w:tcW w:w="2875" w:type="dxa"/>
            <w:tcBorders>
              <w:top w:val="single" w:sz="4" w:space="0" w:color="000000"/>
              <w:left w:val="single" w:sz="4" w:space="0" w:color="000000"/>
              <w:bottom w:val="single" w:sz="4" w:space="0" w:color="000000"/>
              <w:right w:val="single" w:sz="4" w:space="0" w:color="000000"/>
            </w:tcBorders>
          </w:tcPr>
          <w:p w14:paraId="1EC94A6D" w14:textId="6135C49C" w:rsidR="00416913" w:rsidRPr="006F131A" w:rsidRDefault="00416913" w:rsidP="00416913">
            <w:pPr>
              <w:pStyle w:val="Table"/>
            </w:pPr>
            <w:r w:rsidRPr="006F131A">
              <w:rPr>
                <w:rFonts w:cs="Times New Roman"/>
              </w:rPr>
              <w:t>Potable water intensity reduced by at least 20 percent in FY 2017</w:t>
            </w:r>
            <w:r w:rsidR="008B49FF" w:rsidRPr="006F131A">
              <w:rPr>
                <w:rFonts w:cs="Times New Roman"/>
              </w:rPr>
              <w:t xml:space="preserve"> and 22 percent in FY 2018 from the FY 2007 baseline.</w:t>
            </w:r>
          </w:p>
        </w:tc>
      </w:tr>
      <w:tr w:rsidR="00416913" w:rsidRPr="00174DC2" w14:paraId="4D9D5259" w14:textId="77777777" w:rsidTr="008B49FF">
        <w:trPr>
          <w:cantSplit/>
        </w:trPr>
        <w:tc>
          <w:tcPr>
            <w:tcW w:w="2515" w:type="dxa"/>
            <w:tcBorders>
              <w:top w:val="single" w:sz="4" w:space="0" w:color="000000"/>
              <w:left w:val="single" w:sz="4" w:space="0" w:color="000000"/>
              <w:bottom w:val="single" w:sz="4" w:space="0" w:color="000000"/>
              <w:right w:val="single" w:sz="4" w:space="0" w:color="000000"/>
            </w:tcBorders>
          </w:tcPr>
          <w:p w14:paraId="344F201B" w14:textId="276D081C" w:rsidR="00416913" w:rsidRPr="00174DC2" w:rsidRDefault="00416913" w:rsidP="00416913">
            <w:pPr>
              <w:pStyle w:val="Table"/>
              <w:rPr>
                <w:rFonts w:cs="Times New Roman"/>
              </w:rPr>
            </w:pPr>
            <w:r w:rsidRPr="00174DC2">
              <w:rPr>
                <w:rFonts w:cs="Times New Roman"/>
              </w:rPr>
              <w:t>Minimize outdoor water use and use alternative water sources as much as possible.</w:t>
            </w:r>
          </w:p>
        </w:tc>
        <w:tc>
          <w:tcPr>
            <w:tcW w:w="4680" w:type="dxa"/>
            <w:tcBorders>
              <w:top w:val="single" w:sz="4" w:space="0" w:color="000000"/>
              <w:left w:val="single" w:sz="4" w:space="0" w:color="000000"/>
              <w:bottom w:val="single" w:sz="4" w:space="0" w:color="000000"/>
              <w:right w:val="single" w:sz="4" w:space="0" w:color="000000"/>
            </w:tcBorders>
          </w:tcPr>
          <w:p w14:paraId="4DD650AF" w14:textId="50678D6A" w:rsidR="00416913" w:rsidRPr="006F131A" w:rsidRDefault="00416913" w:rsidP="00416913">
            <w:pPr>
              <w:pStyle w:val="Table"/>
            </w:pPr>
            <w:r w:rsidRPr="006F131A">
              <w:rPr>
                <w:rFonts w:cs="Times New Roman"/>
              </w:rPr>
              <w:t>We reclaim condensate water, ground water seepage, and rainwater for reuse as gray water and landscaping irrigation at our Harold Washington Social Security Center and Western Program Service Center.  At HQ, we have water sensors as part of our irrigation system and only irrigate the lawns in the front of the facility.</w:t>
            </w:r>
          </w:p>
        </w:tc>
        <w:tc>
          <w:tcPr>
            <w:tcW w:w="2875" w:type="dxa"/>
            <w:tcBorders>
              <w:top w:val="single" w:sz="4" w:space="0" w:color="000000"/>
              <w:left w:val="single" w:sz="4" w:space="0" w:color="000000"/>
              <w:bottom w:val="single" w:sz="4" w:space="0" w:color="000000"/>
              <w:right w:val="single" w:sz="4" w:space="0" w:color="000000"/>
            </w:tcBorders>
          </w:tcPr>
          <w:p w14:paraId="31E231CD" w14:textId="0E007FD4" w:rsidR="00416913" w:rsidRPr="006F131A" w:rsidRDefault="00416913" w:rsidP="00416913">
            <w:pPr>
              <w:pStyle w:val="Table"/>
            </w:pPr>
            <w:r w:rsidRPr="006F131A">
              <w:rPr>
                <w:rFonts w:cs="Times New Roman"/>
              </w:rPr>
              <w:t>Potable water intensity reduced by at least 20 percent in FY 2017</w:t>
            </w:r>
            <w:r w:rsidR="008B49FF" w:rsidRPr="006F131A">
              <w:rPr>
                <w:rFonts w:cs="Times New Roman"/>
              </w:rPr>
              <w:t xml:space="preserve"> and 22 percent in FY 2018 from the FY 2007 baseline.</w:t>
            </w:r>
          </w:p>
        </w:tc>
      </w:tr>
      <w:tr w:rsidR="00416913" w:rsidRPr="00174DC2" w14:paraId="0AB299E9" w14:textId="77777777" w:rsidTr="008B49FF">
        <w:trPr>
          <w:cantSplit/>
        </w:trPr>
        <w:tc>
          <w:tcPr>
            <w:tcW w:w="2515" w:type="dxa"/>
            <w:tcBorders>
              <w:top w:val="single" w:sz="4" w:space="0" w:color="000000"/>
              <w:left w:val="single" w:sz="4" w:space="0" w:color="000000"/>
              <w:bottom w:val="single" w:sz="4" w:space="0" w:color="000000"/>
              <w:right w:val="single" w:sz="4" w:space="0" w:color="000000"/>
            </w:tcBorders>
          </w:tcPr>
          <w:p w14:paraId="7931A6E1" w14:textId="0127B01E" w:rsidR="00416913" w:rsidRPr="00174DC2" w:rsidRDefault="00416913" w:rsidP="00416913">
            <w:pPr>
              <w:pStyle w:val="Table"/>
              <w:rPr>
                <w:rFonts w:cs="Times New Roman"/>
              </w:rPr>
            </w:pPr>
            <w:r w:rsidRPr="00174DC2">
              <w:rPr>
                <w:rFonts w:cs="Times New Roman"/>
              </w:rPr>
              <w:t>In</w:t>
            </w:r>
            <w:r w:rsidR="0001243E">
              <w:rPr>
                <w:rFonts w:cs="Times New Roman"/>
              </w:rPr>
              <w:t>stall advanced meters to measure</w:t>
            </w:r>
            <w:r>
              <w:rPr>
                <w:rFonts w:cs="Times New Roman"/>
              </w:rPr>
              <w:t xml:space="preserve"> and monitor potable and</w:t>
            </w:r>
            <w:r w:rsidRPr="00174DC2">
              <w:rPr>
                <w:rFonts w:cs="Times New Roman"/>
              </w:rPr>
              <w:t xml:space="preserve"> </w:t>
            </w:r>
            <w:r>
              <w:rPr>
                <w:rFonts w:cs="Times New Roman"/>
              </w:rPr>
              <w:t>ILA water use.</w:t>
            </w:r>
          </w:p>
        </w:tc>
        <w:tc>
          <w:tcPr>
            <w:tcW w:w="4680" w:type="dxa"/>
            <w:tcBorders>
              <w:top w:val="single" w:sz="4" w:space="0" w:color="000000"/>
              <w:left w:val="single" w:sz="4" w:space="0" w:color="000000"/>
              <w:bottom w:val="single" w:sz="4" w:space="0" w:color="000000"/>
              <w:right w:val="single" w:sz="4" w:space="0" w:color="000000"/>
            </w:tcBorders>
          </w:tcPr>
          <w:p w14:paraId="124492AA" w14:textId="41282C1B" w:rsidR="00416913" w:rsidRPr="006F131A" w:rsidRDefault="00416913" w:rsidP="00416913">
            <w:pPr>
              <w:pStyle w:val="Table"/>
            </w:pPr>
            <w:r w:rsidRPr="006F131A">
              <w:rPr>
                <w:rFonts w:cs="Times New Roman"/>
              </w:rPr>
              <w:t>We have already installed water metering for irrigation and potable water use. However, we are performing advanced metering studies to determine if any additional meters can be beneficial.  We do not have any agricultural or industrial water use.</w:t>
            </w:r>
          </w:p>
        </w:tc>
        <w:tc>
          <w:tcPr>
            <w:tcW w:w="2875" w:type="dxa"/>
            <w:tcBorders>
              <w:top w:val="single" w:sz="4" w:space="0" w:color="000000"/>
              <w:left w:val="single" w:sz="4" w:space="0" w:color="000000"/>
              <w:bottom w:val="single" w:sz="4" w:space="0" w:color="000000"/>
              <w:right w:val="single" w:sz="4" w:space="0" w:color="000000"/>
            </w:tcBorders>
          </w:tcPr>
          <w:p w14:paraId="6BBB477E" w14:textId="7A3541AC" w:rsidR="00416913" w:rsidRPr="006F131A" w:rsidRDefault="00416913" w:rsidP="00416913">
            <w:pPr>
              <w:pStyle w:val="Table"/>
            </w:pPr>
            <w:r w:rsidRPr="006F131A">
              <w:t>ILA water intensity reduced by at least 14 percent in FY 2017 and 16 percent in FY 2018</w:t>
            </w:r>
            <w:r w:rsidR="008B49FF" w:rsidRPr="006F131A">
              <w:t xml:space="preserve"> from FY 2010 baseline</w:t>
            </w:r>
            <w:r w:rsidRPr="006F131A">
              <w:t>.</w:t>
            </w:r>
          </w:p>
        </w:tc>
      </w:tr>
      <w:tr w:rsidR="00416913" w:rsidRPr="00174DC2" w14:paraId="0E1EA0F9" w14:textId="77777777" w:rsidTr="008B49FF">
        <w:trPr>
          <w:cantSplit/>
        </w:trPr>
        <w:tc>
          <w:tcPr>
            <w:tcW w:w="2515" w:type="dxa"/>
            <w:tcBorders>
              <w:top w:val="single" w:sz="4" w:space="0" w:color="000000"/>
              <w:left w:val="single" w:sz="4" w:space="0" w:color="000000"/>
              <w:bottom w:val="single" w:sz="4" w:space="0" w:color="000000"/>
              <w:right w:val="single" w:sz="4" w:space="0" w:color="000000"/>
            </w:tcBorders>
          </w:tcPr>
          <w:p w14:paraId="305E7FB8" w14:textId="48122F3F" w:rsidR="00416913" w:rsidRPr="00174DC2" w:rsidRDefault="00416913" w:rsidP="00416913">
            <w:pPr>
              <w:pStyle w:val="Table"/>
              <w:rPr>
                <w:rFonts w:cs="Times New Roman"/>
              </w:rPr>
            </w:pPr>
            <w:r w:rsidRPr="00174DC2">
              <w:rPr>
                <w:rFonts w:cs="Times New Roman"/>
              </w:rPr>
              <w:t>Ensure that planned energy efficiency improvements consider associated opportunities for water conservation.</w:t>
            </w:r>
          </w:p>
        </w:tc>
        <w:tc>
          <w:tcPr>
            <w:tcW w:w="4680" w:type="dxa"/>
            <w:tcBorders>
              <w:top w:val="single" w:sz="4" w:space="0" w:color="000000"/>
              <w:left w:val="single" w:sz="4" w:space="0" w:color="000000"/>
              <w:bottom w:val="single" w:sz="4" w:space="0" w:color="000000"/>
              <w:right w:val="single" w:sz="4" w:space="0" w:color="000000"/>
            </w:tcBorders>
          </w:tcPr>
          <w:p w14:paraId="78A4D4CD" w14:textId="629FC23F" w:rsidR="00416913" w:rsidRPr="006F131A" w:rsidRDefault="00416913" w:rsidP="00416913">
            <w:pPr>
              <w:pStyle w:val="Table"/>
            </w:pPr>
            <w:r w:rsidRPr="006F131A">
              <w:t>As we plan energy efficiency improvements, we always consider opportunities for water conservation.</w:t>
            </w:r>
          </w:p>
        </w:tc>
        <w:tc>
          <w:tcPr>
            <w:tcW w:w="2875" w:type="dxa"/>
            <w:tcBorders>
              <w:top w:val="single" w:sz="4" w:space="0" w:color="000000"/>
              <w:left w:val="single" w:sz="4" w:space="0" w:color="000000"/>
              <w:bottom w:val="single" w:sz="4" w:space="0" w:color="000000"/>
              <w:right w:val="single" w:sz="4" w:space="0" w:color="000000"/>
            </w:tcBorders>
          </w:tcPr>
          <w:p w14:paraId="6684C24B" w14:textId="2BC59F1A" w:rsidR="00416913" w:rsidRPr="006F131A" w:rsidRDefault="00416913" w:rsidP="00416913">
            <w:pPr>
              <w:pStyle w:val="Table"/>
            </w:pPr>
            <w:r w:rsidRPr="006F131A">
              <w:rPr>
                <w:rFonts w:cs="Times New Roman"/>
              </w:rPr>
              <w:t xml:space="preserve">Potable water intensity reduced by </w:t>
            </w:r>
            <w:r w:rsidR="008B49FF" w:rsidRPr="006F131A">
              <w:rPr>
                <w:rFonts w:cs="Times New Roman"/>
              </w:rPr>
              <w:t>at least 20 percent in FY 2017 and 22 percent in FY 2018 from the FY 2007 baseline</w:t>
            </w:r>
            <w:r w:rsidR="00F50712" w:rsidRPr="006F131A">
              <w:rPr>
                <w:rFonts w:cs="Times New Roman"/>
              </w:rPr>
              <w:t>.</w:t>
            </w:r>
          </w:p>
        </w:tc>
      </w:tr>
    </w:tbl>
    <w:p w14:paraId="01784E9D" w14:textId="77777777" w:rsidR="00733DF2" w:rsidRPr="00733DF2" w:rsidRDefault="00733DF2" w:rsidP="00A42ECC"/>
    <w:p w14:paraId="2253E554" w14:textId="77777777" w:rsidR="00A42ECC" w:rsidRDefault="00A42ECC" w:rsidP="00B52263">
      <w:pPr>
        <w:pStyle w:val="Heading2"/>
      </w:pPr>
    </w:p>
    <w:p w14:paraId="3E678DED" w14:textId="77777777" w:rsidR="00EA758E" w:rsidRDefault="00EA758E">
      <w:pPr>
        <w:widowControl w:val="0"/>
        <w:spacing w:after="200" w:line="276" w:lineRule="auto"/>
        <w:rPr>
          <w:b/>
          <w:sz w:val="28"/>
          <w:szCs w:val="36"/>
        </w:rPr>
      </w:pPr>
      <w:bookmarkStart w:id="54" w:name="_Toc441069295"/>
      <w:r>
        <w:br w:type="page"/>
      </w:r>
    </w:p>
    <w:p w14:paraId="13D515D1" w14:textId="7F472C7A" w:rsidR="00953B4C" w:rsidRPr="00953B4C" w:rsidRDefault="00A42ECC" w:rsidP="00BD722F">
      <w:pPr>
        <w:pStyle w:val="Heading2"/>
      </w:pPr>
      <w:bookmarkStart w:id="55" w:name="_Toc486579600"/>
      <w:r w:rsidRPr="00A42ECC">
        <w:t>Goal 5</w:t>
      </w:r>
      <w:r w:rsidR="00174DC2" w:rsidRPr="00A42ECC">
        <w:t>: Fleet Management</w:t>
      </w:r>
      <w:bookmarkEnd w:id="39"/>
      <w:bookmarkEnd w:id="54"/>
      <w:bookmarkEnd w:id="55"/>
    </w:p>
    <w:p w14:paraId="5D53CEF4" w14:textId="3387457F" w:rsidR="008F12D7" w:rsidRPr="008F12D7" w:rsidRDefault="008F12D7" w:rsidP="008F12D7">
      <w:pPr>
        <w:pStyle w:val="Heading3"/>
      </w:pPr>
      <w:bookmarkStart w:id="56" w:name="_Toc441069298"/>
      <w:bookmarkStart w:id="57" w:name="_Toc444272904"/>
      <w:r w:rsidRPr="008F12D7">
        <w:t xml:space="preserve">Fleet Per-Mile Greenhouse Gas </w:t>
      </w:r>
      <w:r w:rsidR="00DF60FE">
        <w:t xml:space="preserve">(GHG) </w:t>
      </w:r>
      <w:r w:rsidRPr="008F12D7">
        <w:t>Emissions Goal</w:t>
      </w:r>
      <w:bookmarkEnd w:id="56"/>
      <w:bookmarkEnd w:id="57"/>
    </w:p>
    <w:p w14:paraId="733761E5" w14:textId="54BDA397" w:rsidR="008F12D7" w:rsidRPr="00174DC2" w:rsidRDefault="008F12D7" w:rsidP="008F12D7">
      <w:r w:rsidRPr="00174DC2">
        <w:t xml:space="preserve">E.O. 13693 </w:t>
      </w:r>
      <w:r>
        <w:t>S</w:t>
      </w:r>
      <w:r w:rsidRPr="00174DC2">
        <w:t xml:space="preserve">ection 3(g) states that agencies with a fleet of at least 20 motor vehicles will improve fleet and vehicle efficiency and management. </w:t>
      </w:r>
      <w:r>
        <w:t xml:space="preserve"> </w:t>
      </w:r>
      <w:r w:rsidRPr="00174DC2">
        <w:t xml:space="preserve">E.O. 13693 </w:t>
      </w:r>
      <w:r>
        <w:t>s</w:t>
      </w:r>
      <w:r w:rsidRPr="00174DC2">
        <w:t xml:space="preserve">ection 3(g)(ii) requires agencies to reduce fleet-wide per-mile </w:t>
      </w:r>
      <w:r>
        <w:t>GHG</w:t>
      </w:r>
      <w:r w:rsidRPr="00174DC2">
        <w:t xml:space="preserve"> emissions from agency fleet vehicles relative </w:t>
      </w:r>
      <w:r>
        <w:t>to a FY </w:t>
      </w:r>
      <w:r w:rsidRPr="00174DC2">
        <w:t xml:space="preserve">2014 baseline and sets new goals for percentage reductions: not less than 4% by </w:t>
      </w:r>
      <w:r>
        <w:t>FY </w:t>
      </w:r>
      <w:r w:rsidRPr="00174DC2">
        <w:t xml:space="preserve">2017; not less than 15 % by </w:t>
      </w:r>
      <w:r>
        <w:t>FY </w:t>
      </w:r>
      <w:r w:rsidRPr="00174DC2">
        <w:t>202</w:t>
      </w:r>
      <w:r>
        <w:t>0; and not less than 30% by FY </w:t>
      </w:r>
      <w:r w:rsidRPr="00174DC2">
        <w:t>2025.</w:t>
      </w:r>
    </w:p>
    <w:p w14:paraId="7DB8E577" w14:textId="13C83EC1" w:rsidR="00EF5103" w:rsidRDefault="008F12D7" w:rsidP="008F12D7">
      <w:r w:rsidRPr="00174DC2">
        <w:t xml:space="preserve">E.O. 13693 </w:t>
      </w:r>
      <w:r>
        <w:t>S</w:t>
      </w:r>
      <w:r w:rsidRPr="00174DC2">
        <w:t>ection 3(g)(i) requires that</w:t>
      </w:r>
      <w:r>
        <w:t xml:space="preserve"> agencies</w:t>
      </w:r>
      <w:r w:rsidRPr="00174DC2">
        <w:t xml:space="preserve"> determine the optimum fleet inventory, emphasizing eliminating unnecessary or non-essential vehicles</w:t>
      </w:r>
      <w:r>
        <w:t>. The Fleet Management Plan and V</w:t>
      </w:r>
      <w:r w:rsidRPr="00174DC2">
        <w:t xml:space="preserve">ehicle Allocation Methodology (VAM) </w:t>
      </w:r>
      <w:r>
        <w:t xml:space="preserve">Report are included as appendices to this plan.  </w:t>
      </w:r>
    </w:p>
    <w:p w14:paraId="53A46E43" w14:textId="3C00FFAA" w:rsidR="000F15DE" w:rsidRDefault="00981B37" w:rsidP="00E375BF">
      <w:pPr>
        <w:widowControl w:val="0"/>
        <w:spacing w:after="200" w:line="276" w:lineRule="auto"/>
        <w:rPr>
          <w:rFonts w:eastAsiaTheme="majorEastAsia" w:cs="Times New Roman"/>
          <w:b/>
          <w:szCs w:val="24"/>
        </w:rPr>
      </w:pPr>
      <w:r>
        <w:rPr>
          <w:rFonts w:eastAsiaTheme="majorEastAsia" w:cs="Times New Roman"/>
          <w:b/>
          <w:szCs w:val="24"/>
        </w:rPr>
        <w:t>Chart</w:t>
      </w:r>
      <w:r w:rsidR="000F15DE" w:rsidRPr="000F15DE">
        <w:rPr>
          <w:rFonts w:eastAsiaTheme="majorEastAsia" w:cs="Times New Roman"/>
          <w:b/>
          <w:szCs w:val="24"/>
        </w:rPr>
        <w:t>: Fleet-wide Per-mile GHG Emissions</w:t>
      </w:r>
    </w:p>
    <w:p w14:paraId="6CEF1FAF" w14:textId="056B083E" w:rsidR="00981B37" w:rsidRPr="000F15DE" w:rsidRDefault="00416913" w:rsidP="00981B37">
      <w:pPr>
        <w:jc w:val="center"/>
        <w:rPr>
          <w:rFonts w:eastAsiaTheme="majorEastAsia" w:cs="Times New Roman"/>
          <w:b/>
          <w:szCs w:val="24"/>
        </w:rPr>
      </w:pPr>
      <w:r>
        <w:rPr>
          <w:noProof/>
        </w:rPr>
        <w:drawing>
          <wp:inline distT="0" distB="0" distL="0" distR="0" wp14:anchorId="7627E672" wp14:editId="5CC72527">
            <wp:extent cx="5943600" cy="47351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735195"/>
                    </a:xfrm>
                    <a:prstGeom prst="rect">
                      <a:avLst/>
                    </a:prstGeom>
                  </pic:spPr>
                </pic:pic>
              </a:graphicData>
            </a:graphic>
          </wp:inline>
        </w:drawing>
      </w:r>
    </w:p>
    <w:p w14:paraId="0BE9F92A" w14:textId="77777777" w:rsidR="00AD2F42" w:rsidRDefault="00AD2F42" w:rsidP="00AD2F42">
      <w:pPr>
        <w:pStyle w:val="Heading3"/>
      </w:pPr>
      <w:r w:rsidRPr="00174DC2">
        <w:t>Fle</w:t>
      </w:r>
      <w:r>
        <w:t>et Alternative Fuel Consumption Goal</w:t>
      </w:r>
    </w:p>
    <w:p w14:paraId="2A0876A8" w14:textId="0D9EF4D8" w:rsidR="00AD2F42" w:rsidRDefault="00E24509" w:rsidP="00AD2F42">
      <w:r>
        <w:t>The Energy Independence and Security Act 2007 (EISA) requires that, not later than October 1, 2015 and each year thereafter, that each Federal agency achieve a 10 percent increase in annual alternative f</w:t>
      </w:r>
      <w:r w:rsidR="00FD7F6F">
        <w:t>uel consumption, compared to a FY</w:t>
      </w:r>
      <w:r w:rsidR="001B1D5B">
        <w:t xml:space="preserve"> </w:t>
      </w:r>
      <w:r w:rsidR="00FD7F6F">
        <w:t xml:space="preserve">2005 </w:t>
      </w:r>
      <w:r>
        <w:t xml:space="preserve">baseline. </w:t>
      </w:r>
      <w:r w:rsidR="00CC1283">
        <w:t xml:space="preserve">By FY 2016, agencies </w:t>
      </w:r>
      <w:r w:rsidR="000F43BB">
        <w:t>were to</w:t>
      </w:r>
      <w:r w:rsidR="00CC1283">
        <w:t xml:space="preserve"> have increased alternative fuel use by 175.3% relative to FY 2005. </w:t>
      </w:r>
      <w:r w:rsidR="000F43BB">
        <w:t xml:space="preserve">In addition, </w:t>
      </w:r>
      <w:r w:rsidR="00CC1283">
        <w:t xml:space="preserve">OMB </w:t>
      </w:r>
      <w:r w:rsidR="000F43BB">
        <w:t xml:space="preserve">has asked all </w:t>
      </w:r>
      <w:r w:rsidR="00BA304C">
        <w:t xml:space="preserve">agencies </w:t>
      </w:r>
      <w:r w:rsidR="000F43BB">
        <w:t xml:space="preserve">to </w:t>
      </w:r>
      <w:r w:rsidR="00BA304C">
        <w:t xml:space="preserve">achieve </w:t>
      </w:r>
      <w:r w:rsidR="00CC1283">
        <w:t>a minimum of 5%</w:t>
      </w:r>
      <w:r w:rsidR="00BA304C">
        <w:t xml:space="preserve"> </w:t>
      </w:r>
      <w:r w:rsidR="000F43BB">
        <w:t xml:space="preserve">alternative fuel use </w:t>
      </w:r>
      <w:r w:rsidR="00BA304C">
        <w:t xml:space="preserve">of their total fuel </w:t>
      </w:r>
      <w:r w:rsidR="000F43BB">
        <w:t>consumption</w:t>
      </w:r>
      <w:r w:rsidR="00BA304C">
        <w:t>.</w:t>
      </w:r>
    </w:p>
    <w:p w14:paraId="21BCDFED" w14:textId="7939113B" w:rsidR="00AD2F42" w:rsidRDefault="00AD2F42" w:rsidP="00AD2F42">
      <w:r w:rsidRPr="00416913">
        <w:t xml:space="preserve">In FY 2016, </w:t>
      </w:r>
      <w:r w:rsidR="00984BC8">
        <w:t>SSA’s</w:t>
      </w:r>
      <w:r w:rsidRPr="00416913">
        <w:t xml:space="preserve"> use of alternative fuel equaled </w:t>
      </w:r>
      <w:r w:rsidR="00416913" w:rsidRPr="00F50712">
        <w:rPr>
          <w:color w:val="FF0000"/>
        </w:rPr>
        <w:t>13.9</w:t>
      </w:r>
      <w:r w:rsidR="005F417C">
        <w:rPr>
          <w:color w:val="FF0000"/>
        </w:rPr>
        <w:t xml:space="preserve"> percent</w:t>
      </w:r>
      <w:r w:rsidR="005F417C" w:rsidRPr="00F50712">
        <w:rPr>
          <w:color w:val="FF0000"/>
        </w:rPr>
        <w:t xml:space="preserve"> </w:t>
      </w:r>
      <w:r w:rsidRPr="00416913">
        <w:t xml:space="preserve">of total fuel use. </w:t>
      </w:r>
      <w:r w:rsidR="00416913" w:rsidRPr="00416913">
        <w:t>SSA</w:t>
      </w:r>
      <w:r w:rsidRPr="00416913">
        <w:t xml:space="preserve"> has increased its alternative fuel use by </w:t>
      </w:r>
      <w:r w:rsidR="00416913" w:rsidRPr="00F50712">
        <w:rPr>
          <w:color w:val="FF0000"/>
        </w:rPr>
        <w:t>1,384</w:t>
      </w:r>
      <w:r w:rsidR="005F417C">
        <w:rPr>
          <w:color w:val="FF0000"/>
        </w:rPr>
        <w:t xml:space="preserve"> percent</w:t>
      </w:r>
      <w:r w:rsidRPr="00F50712">
        <w:rPr>
          <w:color w:val="FF0000"/>
        </w:rPr>
        <w:t xml:space="preserve"> </w:t>
      </w:r>
      <w:r w:rsidRPr="00416913">
        <w:t>since FY 2005.</w:t>
      </w:r>
    </w:p>
    <w:p w14:paraId="51E0A31D" w14:textId="648E1B42" w:rsidR="00984BC8" w:rsidRPr="00F50712" w:rsidRDefault="00984BC8" w:rsidP="00984BC8">
      <w:pPr>
        <w:rPr>
          <w:color w:val="FF0000"/>
        </w:rPr>
      </w:pPr>
      <w:r w:rsidRPr="00F50712">
        <w:rPr>
          <w:color w:val="FF0000"/>
        </w:rPr>
        <w:t>SSA is currently meeting all required goals of Executive Order 13693 (</w:t>
      </w:r>
      <w:r w:rsidR="00295180">
        <w:rPr>
          <w:color w:val="FF0000"/>
        </w:rPr>
        <w:t xml:space="preserve">Planning for </w:t>
      </w:r>
      <w:r w:rsidRPr="00F50712">
        <w:rPr>
          <w:color w:val="FF0000"/>
        </w:rPr>
        <w:t xml:space="preserve">Federal Sustainability in the Next Decade) and the 2007 Energy Independence and Security Act (EISA </w:t>
      </w:r>
      <w:r w:rsidR="00295180">
        <w:rPr>
          <w:color w:val="FF0000"/>
        </w:rPr>
        <w:t xml:space="preserve">Section </w:t>
      </w:r>
      <w:r w:rsidRPr="00F50712">
        <w:rPr>
          <w:color w:val="FF0000"/>
        </w:rPr>
        <w:t xml:space="preserve">141). We intend to continue meeting those requirements through a strategy that incorporates acquiring the right types of vehicles, maximizing the use of alternative fuel, and using telematics.  </w:t>
      </w:r>
    </w:p>
    <w:p w14:paraId="28102DF6" w14:textId="68150B2A" w:rsidR="00B22C8A" w:rsidRPr="00F50712" w:rsidRDefault="00984BC8" w:rsidP="00984BC8">
      <w:pPr>
        <w:rPr>
          <w:color w:val="FF0000"/>
        </w:rPr>
      </w:pPr>
      <w:r w:rsidRPr="00F50712">
        <w:rPr>
          <w:color w:val="FF0000"/>
        </w:rPr>
        <w:t>In FY</w:t>
      </w:r>
      <w:r w:rsidR="009D2DDD" w:rsidRPr="00F50712">
        <w:rPr>
          <w:color w:val="FF0000"/>
        </w:rPr>
        <w:t xml:space="preserve"> 20</w:t>
      </w:r>
      <w:r w:rsidRPr="00F50712">
        <w:rPr>
          <w:color w:val="FF0000"/>
        </w:rPr>
        <w:t>16, we began acquiring low GHG vehicles to the maximum extent possible. We have strategically placed all newly acquired vehicles in areas with supporting fuel type infrastructures. All vehicles located within 5 miles or 15 minutes of an E85 fueling station will receive an E85 capable flex fuel vehicle. Vehicles outside of the E85 radius will receive a low GHG dedicated gasoline vehicle. We have had huge successes with our alternative fuel use, thanks to the agency-owned E85 tank at SSA HQ. Twenty percent of the agency’s vehicles are located at the HQ, which enables us to maximize the use of E85, because many field locations have limited access to E85.  Since the beginning of FY 2017, we have taken additional steps to improve the use of E85 in our field locations, including publishing an Alternative Fuel Use and Missed Opportunity Report to our field offices.  This report identifies vehicles that had an opportunity to fuel with E85 and did not. Within the first two months of issuing the report, we saw a decrease in missed opportunities of 1.5 percent. Telematics installation started in FY</w:t>
      </w:r>
      <w:r w:rsidR="009D2DDD" w:rsidRPr="00F50712">
        <w:rPr>
          <w:color w:val="FF0000"/>
        </w:rPr>
        <w:t xml:space="preserve"> 20</w:t>
      </w:r>
      <w:r w:rsidRPr="00F50712">
        <w:rPr>
          <w:color w:val="FF0000"/>
        </w:rPr>
        <w:t>16 and will continue through FY</w:t>
      </w:r>
      <w:r w:rsidR="009D2DDD" w:rsidRPr="00F50712">
        <w:rPr>
          <w:color w:val="FF0000"/>
        </w:rPr>
        <w:t xml:space="preserve"> 20</w:t>
      </w:r>
      <w:r w:rsidRPr="00F50712">
        <w:rPr>
          <w:color w:val="FF0000"/>
        </w:rPr>
        <w:t xml:space="preserve">18 as new vehicles are acquired. Starting in FY18, we will analyze vehicle idling data. </w:t>
      </w:r>
      <w:r w:rsidR="009D2DDD" w:rsidRPr="00F50712">
        <w:rPr>
          <w:color w:val="FF0000"/>
        </w:rPr>
        <w:t>Reducing</w:t>
      </w:r>
      <w:r w:rsidRPr="00F50712">
        <w:rPr>
          <w:color w:val="FF0000"/>
        </w:rPr>
        <w:t xml:space="preserve"> idling time by 15 minutes per day</w:t>
      </w:r>
      <w:r w:rsidR="009D2DDD" w:rsidRPr="00F50712">
        <w:rPr>
          <w:color w:val="FF0000"/>
        </w:rPr>
        <w:t xml:space="preserve"> per vehicle could</w:t>
      </w:r>
      <w:r w:rsidRPr="00F50712">
        <w:rPr>
          <w:color w:val="FF0000"/>
        </w:rPr>
        <w:t xml:space="preserve"> save the agency approximately 600 gallons of fuel per year. In addition, in FY18 we will start identifying vehicles that do not meet the vehicle manufacture</w:t>
      </w:r>
      <w:r w:rsidR="009D2DDD" w:rsidRPr="00F50712">
        <w:rPr>
          <w:color w:val="FF0000"/>
        </w:rPr>
        <w:t>r’</w:t>
      </w:r>
      <w:r w:rsidRPr="00F50712">
        <w:rPr>
          <w:color w:val="FF0000"/>
        </w:rPr>
        <w:t xml:space="preserve">s recommended MPG </w:t>
      </w:r>
      <w:r w:rsidR="009D2DDD" w:rsidRPr="00F50712">
        <w:rPr>
          <w:color w:val="FF0000"/>
        </w:rPr>
        <w:t>within a variable of 12% to</w:t>
      </w:r>
      <w:r w:rsidRPr="00F50712">
        <w:rPr>
          <w:color w:val="FF0000"/>
        </w:rPr>
        <w:t xml:space="preserve"> help us identify vehicles that are the most efficient for our fleet.</w:t>
      </w:r>
    </w:p>
    <w:p w14:paraId="7C5D8F41" w14:textId="375B80A9" w:rsidR="008F12D7" w:rsidRPr="00307697" w:rsidRDefault="00733DF2" w:rsidP="00733DF2">
      <w:pPr>
        <w:pStyle w:val="Heading3"/>
        <w:rPr>
          <w:b w:val="0"/>
          <w:i/>
        </w:rPr>
      </w:pPr>
      <w:bookmarkStart w:id="58" w:name="_Toc444272905"/>
      <w:r>
        <w:t>Fleet Management Strategies</w:t>
      </w:r>
      <w:bookmarkEnd w:id="58"/>
      <w:r w:rsidR="003B6468">
        <w:t xml:space="preserve"> for Fiscal Year 2018</w:t>
      </w:r>
      <w:r w:rsidR="00B32BCC">
        <w:t xml:space="preserve"> </w:t>
      </w:r>
    </w:p>
    <w:tbl>
      <w:tblPr>
        <w:tblW w:w="5000" w:type="pct"/>
        <w:tblLayout w:type="fixed"/>
        <w:tblCellMar>
          <w:left w:w="0" w:type="dxa"/>
          <w:right w:w="0" w:type="dxa"/>
        </w:tblCellMar>
        <w:tblLook w:val="01E0" w:firstRow="1" w:lastRow="1" w:firstColumn="1" w:lastColumn="1" w:noHBand="0" w:noVBand="0"/>
      </w:tblPr>
      <w:tblGrid>
        <w:gridCol w:w="3775"/>
        <w:gridCol w:w="3510"/>
        <w:gridCol w:w="2785"/>
      </w:tblGrid>
      <w:tr w:rsidR="00307697" w:rsidRPr="00EB49B5" w14:paraId="07DA7695" w14:textId="77777777" w:rsidTr="00F752D6">
        <w:trPr>
          <w:cantSplit/>
          <w:tblHeader/>
        </w:trPr>
        <w:tc>
          <w:tcPr>
            <w:tcW w:w="37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AE3039" w14:textId="77777777" w:rsidR="00307697" w:rsidRPr="004A4CA2" w:rsidRDefault="00307697" w:rsidP="002E256D">
            <w:pPr>
              <w:pStyle w:val="Table"/>
              <w:jc w:val="center"/>
              <w:rPr>
                <w:b/>
              </w:rPr>
            </w:pPr>
            <w:r w:rsidRPr="004A4CA2">
              <w:rPr>
                <w:b/>
              </w:rPr>
              <w:t>Strategy</w:t>
            </w:r>
          </w:p>
        </w:tc>
        <w:tc>
          <w:tcPr>
            <w:tcW w:w="35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A1D1C7" w14:textId="77777777" w:rsidR="00307697" w:rsidRPr="00EB49B5" w:rsidRDefault="00307697" w:rsidP="002E256D">
            <w:pPr>
              <w:pStyle w:val="Table"/>
              <w:jc w:val="center"/>
              <w:rPr>
                <w:b/>
              </w:rPr>
            </w:pPr>
            <w:r>
              <w:rPr>
                <w:b/>
              </w:rPr>
              <w:t>Strategy Narrative</w:t>
            </w:r>
          </w:p>
        </w:tc>
        <w:tc>
          <w:tcPr>
            <w:tcW w:w="27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F96667" w14:textId="77777777" w:rsidR="00307697" w:rsidRPr="00EB49B5" w:rsidRDefault="00307697" w:rsidP="002E256D">
            <w:pPr>
              <w:pStyle w:val="Table"/>
              <w:jc w:val="center"/>
              <w:rPr>
                <w:b/>
              </w:rPr>
            </w:pPr>
            <w:r>
              <w:rPr>
                <w:b/>
              </w:rPr>
              <w:t>Targets and Metrics</w:t>
            </w:r>
          </w:p>
        </w:tc>
      </w:tr>
      <w:tr w:rsidR="00416913" w:rsidRPr="00174DC2" w14:paraId="49094B5E"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6303DAAA" w14:textId="4EF6B4BD" w:rsidR="00416913" w:rsidRPr="004A4CA2" w:rsidRDefault="00416913" w:rsidP="00416913">
            <w:pPr>
              <w:pStyle w:val="Table"/>
            </w:pPr>
            <w:r w:rsidRPr="004A4CA2">
              <w:t>Collect and utilize agency fleet operational data through de</w:t>
            </w:r>
            <w:r w:rsidR="008E7877" w:rsidRPr="004A4CA2">
              <w:t>ployment of vehicle telematics and implement vehicle idle mitigation technologies.</w:t>
            </w:r>
          </w:p>
        </w:tc>
        <w:tc>
          <w:tcPr>
            <w:tcW w:w="3510" w:type="dxa"/>
            <w:tcBorders>
              <w:top w:val="single" w:sz="4" w:space="0" w:color="000000"/>
              <w:left w:val="single" w:sz="4" w:space="0" w:color="000000"/>
              <w:bottom w:val="single" w:sz="4" w:space="0" w:color="000000"/>
              <w:right w:val="single" w:sz="4" w:space="0" w:color="000000"/>
            </w:tcBorders>
          </w:tcPr>
          <w:p w14:paraId="65E3DE89" w14:textId="204094D9" w:rsidR="00416913" w:rsidRPr="00E375BF" w:rsidRDefault="005F417C" w:rsidP="008C3E4B">
            <w:pPr>
              <w:pStyle w:val="Table"/>
            </w:pPr>
            <w:r w:rsidRPr="00E375BF">
              <w:t xml:space="preserve">We </w:t>
            </w:r>
            <w:r w:rsidR="00416913" w:rsidRPr="00E375BF">
              <w:t>will begin analyzing data collected from the telematics system</w:t>
            </w:r>
            <w:r w:rsidR="008C3E4B" w:rsidRPr="00E375BF">
              <w:t>, such as vehicles with excessive idling time,</w:t>
            </w:r>
            <w:r w:rsidR="00295180" w:rsidRPr="00E375BF">
              <w:t xml:space="preserve"> and</w:t>
            </w:r>
            <w:r w:rsidR="00416913" w:rsidRPr="00E375BF">
              <w:t xml:space="preserve"> continue installing vehicle telematics in new acquisitions of light-duty vehicles in FY 2018</w:t>
            </w:r>
            <w:r w:rsidR="00295180" w:rsidRPr="00E375BF">
              <w:t>.</w:t>
            </w:r>
            <w:r w:rsidR="008C3E4B" w:rsidRPr="00E375BF">
              <w:t xml:space="preserve">  </w:t>
            </w:r>
            <w:r w:rsidR="00416913" w:rsidRPr="00E375BF">
              <w:t>We will continue to procure vehicles with Automatic Start Stop systems.</w:t>
            </w:r>
          </w:p>
        </w:tc>
        <w:tc>
          <w:tcPr>
            <w:tcW w:w="2785" w:type="dxa"/>
            <w:tcBorders>
              <w:top w:val="single" w:sz="4" w:space="0" w:color="000000"/>
              <w:left w:val="single" w:sz="4" w:space="0" w:color="000000"/>
              <w:bottom w:val="single" w:sz="4" w:space="0" w:color="000000"/>
              <w:right w:val="single" w:sz="4" w:space="0" w:color="000000"/>
            </w:tcBorders>
          </w:tcPr>
          <w:p w14:paraId="71DD1205" w14:textId="325E9A6A" w:rsidR="00416913" w:rsidRPr="00E375BF" w:rsidRDefault="00416913" w:rsidP="008C3E4B">
            <w:pPr>
              <w:pStyle w:val="Table"/>
            </w:pPr>
            <w:r w:rsidRPr="00E375BF">
              <w:t>In FY 2018, begin analyzing vehicle idling data to look for opportunities to reduce vehicle idling time versus engine run time. In FY 2018</w:t>
            </w:r>
            <w:r w:rsidR="00F752D6" w:rsidRPr="00E375BF">
              <w:t>,</w:t>
            </w:r>
            <w:r w:rsidRPr="00E375BF">
              <w:t xml:space="preserve"> identify vehicles that do not meet the vehicle manufacture’s recommended MPG, within a variable of 12</w:t>
            </w:r>
            <w:r w:rsidR="008C3E4B" w:rsidRPr="00E375BF">
              <w:t xml:space="preserve"> percent. </w:t>
            </w:r>
          </w:p>
        </w:tc>
      </w:tr>
      <w:tr w:rsidR="00416913" w:rsidRPr="00174DC2" w14:paraId="200E951F"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09A6FD36" w14:textId="3B75DCFF" w:rsidR="00416913" w:rsidRPr="00174DC2" w:rsidRDefault="00416913" w:rsidP="00416913">
            <w:pPr>
              <w:pStyle w:val="Table"/>
            </w:pPr>
            <w:r w:rsidRPr="00174DC2">
              <w:t xml:space="preserve">Ensure that agency annual asset-level fleet data is properly and accurately accounted for in a formal Fleet Management </w:t>
            </w:r>
            <w:r>
              <w:t xml:space="preserve">Information System </w:t>
            </w:r>
            <w:r w:rsidRPr="00174DC2">
              <w:t>as well as submitted to the Federal Automotive Statistical Tool reporting database, the Federal Motor Vehicle Registration System, and the Fleet Sustainability Dashboard (FLEETDASH) system</w:t>
            </w:r>
            <w:r>
              <w:t>.</w:t>
            </w:r>
          </w:p>
        </w:tc>
        <w:tc>
          <w:tcPr>
            <w:tcW w:w="3510" w:type="dxa"/>
            <w:tcBorders>
              <w:top w:val="single" w:sz="4" w:space="0" w:color="000000"/>
              <w:left w:val="single" w:sz="4" w:space="0" w:color="000000"/>
              <w:bottom w:val="single" w:sz="4" w:space="0" w:color="000000"/>
              <w:right w:val="single" w:sz="4" w:space="0" w:color="000000"/>
            </w:tcBorders>
          </w:tcPr>
          <w:p w14:paraId="270A9560" w14:textId="17336967" w:rsidR="00416913" w:rsidRPr="00E375BF" w:rsidRDefault="005F417C" w:rsidP="005F417C">
            <w:pPr>
              <w:pStyle w:val="Table"/>
            </w:pPr>
            <w:r w:rsidRPr="00E375BF">
              <w:t xml:space="preserve">Our </w:t>
            </w:r>
            <w:r w:rsidR="00416913" w:rsidRPr="00E375BF">
              <w:t xml:space="preserve">primary FMIS is GSA’s Fleet Drive Thru and FED FMS system that enables us to feed data into the Federal Automotive Statistical Tool (FAST), Federal Motor Vehicle Registration System (FMVRS), as well as FLEETDASH. </w:t>
            </w:r>
          </w:p>
        </w:tc>
        <w:tc>
          <w:tcPr>
            <w:tcW w:w="2785" w:type="dxa"/>
            <w:tcBorders>
              <w:top w:val="single" w:sz="4" w:space="0" w:color="000000"/>
              <w:left w:val="single" w:sz="4" w:space="0" w:color="000000"/>
              <w:bottom w:val="single" w:sz="4" w:space="0" w:color="000000"/>
              <w:right w:val="single" w:sz="4" w:space="0" w:color="000000"/>
            </w:tcBorders>
          </w:tcPr>
          <w:p w14:paraId="5C11559F" w14:textId="163D8530" w:rsidR="00416913" w:rsidRPr="00E375BF" w:rsidRDefault="00416913" w:rsidP="008C3E4B">
            <w:pPr>
              <w:pStyle w:val="Table"/>
            </w:pPr>
            <w:r w:rsidRPr="00E375BF">
              <w:t xml:space="preserve">Verification that </w:t>
            </w:r>
            <w:r w:rsidR="008C3E4B" w:rsidRPr="00E375BF">
              <w:t>d</w:t>
            </w:r>
            <w:r w:rsidRPr="00E375BF">
              <w:t>ata is pr</w:t>
            </w:r>
            <w:r w:rsidR="00F752D6" w:rsidRPr="00E375BF">
              <w:t>operly entered into FAST, FLEET</w:t>
            </w:r>
            <w:r w:rsidRPr="00E375BF">
              <w:t>DASH, and FMVRS.</w:t>
            </w:r>
          </w:p>
        </w:tc>
      </w:tr>
      <w:tr w:rsidR="00416913" w:rsidRPr="00174DC2" w14:paraId="6E7EECC6"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432B62CC" w14:textId="400BC6A5" w:rsidR="00416913" w:rsidRPr="00174DC2" w:rsidRDefault="00416913" w:rsidP="00416913">
            <w:pPr>
              <w:pStyle w:val="Table"/>
            </w:pPr>
            <w:r>
              <w:t xml:space="preserve">Increase </w:t>
            </w:r>
            <w:r w:rsidRPr="00174DC2">
              <w:t xml:space="preserve">acquisitions </w:t>
            </w:r>
            <w:r>
              <w:t xml:space="preserve">of zero emission and </w:t>
            </w:r>
            <w:r w:rsidRPr="00174DC2">
              <w:t>plug-in hybrid</w:t>
            </w:r>
            <w:r>
              <w:t xml:space="preserve"> </w:t>
            </w:r>
            <w:r w:rsidRPr="00174DC2">
              <w:t>vehicles</w:t>
            </w:r>
            <w:r>
              <w:t>.</w:t>
            </w:r>
          </w:p>
        </w:tc>
        <w:tc>
          <w:tcPr>
            <w:tcW w:w="3510" w:type="dxa"/>
            <w:tcBorders>
              <w:top w:val="single" w:sz="4" w:space="0" w:color="000000"/>
              <w:left w:val="single" w:sz="4" w:space="0" w:color="000000"/>
              <w:bottom w:val="single" w:sz="4" w:space="0" w:color="000000"/>
              <w:right w:val="single" w:sz="4" w:space="0" w:color="000000"/>
            </w:tcBorders>
          </w:tcPr>
          <w:p w14:paraId="4EE6E594" w14:textId="74F800BD" w:rsidR="00416913" w:rsidRPr="00E375BF" w:rsidRDefault="008C3E4B" w:rsidP="008C3E4B">
            <w:pPr>
              <w:pStyle w:val="Table"/>
            </w:pPr>
            <w:r w:rsidRPr="00E375BF">
              <w:t xml:space="preserve">We </w:t>
            </w:r>
            <w:r w:rsidR="00416913" w:rsidRPr="00E375BF">
              <w:t xml:space="preserve">procured </w:t>
            </w:r>
            <w:r w:rsidRPr="00E375BF">
              <w:t xml:space="preserve">six </w:t>
            </w:r>
            <w:r w:rsidR="00416913" w:rsidRPr="00E375BF">
              <w:t>PHEV’s in FY 2017</w:t>
            </w:r>
            <w:r w:rsidR="00F752D6" w:rsidRPr="00E375BF">
              <w:t xml:space="preserve"> and will continue to procure them</w:t>
            </w:r>
            <w:r w:rsidRPr="00E375BF">
              <w:t>,</w:t>
            </w:r>
            <w:r w:rsidR="00F752D6" w:rsidRPr="00E375BF">
              <w:t xml:space="preserve"> when feasible</w:t>
            </w:r>
            <w:r w:rsidR="00416913" w:rsidRPr="00E375BF">
              <w:t>.</w:t>
            </w:r>
          </w:p>
        </w:tc>
        <w:tc>
          <w:tcPr>
            <w:tcW w:w="2785" w:type="dxa"/>
            <w:tcBorders>
              <w:top w:val="single" w:sz="4" w:space="0" w:color="000000"/>
              <w:left w:val="single" w:sz="4" w:space="0" w:color="000000"/>
              <w:bottom w:val="single" w:sz="4" w:space="0" w:color="000000"/>
              <w:right w:val="single" w:sz="4" w:space="0" w:color="000000"/>
            </w:tcBorders>
          </w:tcPr>
          <w:p w14:paraId="49D2EBC7" w14:textId="7904AD7A" w:rsidR="00416913" w:rsidRPr="00E375BF" w:rsidRDefault="00F752D6" w:rsidP="00416913">
            <w:pPr>
              <w:pStyle w:val="Table"/>
            </w:pPr>
            <w:r w:rsidRPr="00E375BF">
              <w:t>Initial t</w:t>
            </w:r>
            <w:r w:rsidR="00416913" w:rsidRPr="00E375BF">
              <w:t>arget is 30</w:t>
            </w:r>
            <w:r w:rsidR="008C3E4B" w:rsidRPr="00E375BF">
              <w:t xml:space="preserve"> percent</w:t>
            </w:r>
            <w:r w:rsidR="00416913" w:rsidRPr="00E375BF">
              <w:t xml:space="preserve"> of new acquisitions to be EV’s or PHEV’s by FY 2020. </w:t>
            </w:r>
          </w:p>
          <w:p w14:paraId="0B023383" w14:textId="470FF265" w:rsidR="00416913" w:rsidRPr="00E375BF" w:rsidRDefault="00416913" w:rsidP="00416913">
            <w:pPr>
              <w:pStyle w:val="Table"/>
              <w:rPr>
                <w:i/>
              </w:rPr>
            </w:pPr>
          </w:p>
        </w:tc>
      </w:tr>
      <w:tr w:rsidR="00416913" w:rsidRPr="00174DC2" w14:paraId="67B1AD31"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366A10CF" w14:textId="5C4FF5A5" w:rsidR="00416913" w:rsidRPr="00174DC2" w:rsidRDefault="00416913" w:rsidP="00416913">
            <w:pPr>
              <w:pStyle w:val="Table"/>
            </w:pPr>
            <w:r>
              <w:t>Optimize and r</w:t>
            </w:r>
            <w:r w:rsidRPr="00174DC2">
              <w:t>ight-size</w:t>
            </w:r>
            <w:r>
              <w:t xml:space="preserve"> fleet</w:t>
            </w:r>
            <w:r w:rsidRPr="00174DC2">
              <w:t xml:space="preserve"> composition</w:t>
            </w:r>
            <w:r>
              <w:t>, by reducing vehicle size, eliminating underutilized vehicles, and acquiring and locating</w:t>
            </w:r>
            <w:r w:rsidRPr="00174DC2">
              <w:t xml:space="preserve"> vehicles to </w:t>
            </w:r>
            <w:r>
              <w:t>match local fuel infrastructure</w:t>
            </w:r>
            <w:r w:rsidRPr="00174DC2">
              <w:t>.</w:t>
            </w:r>
          </w:p>
        </w:tc>
        <w:tc>
          <w:tcPr>
            <w:tcW w:w="3510" w:type="dxa"/>
            <w:tcBorders>
              <w:top w:val="single" w:sz="4" w:space="0" w:color="000000"/>
              <w:left w:val="single" w:sz="4" w:space="0" w:color="000000"/>
              <w:bottom w:val="single" w:sz="4" w:space="0" w:color="000000"/>
              <w:right w:val="single" w:sz="4" w:space="0" w:color="000000"/>
            </w:tcBorders>
          </w:tcPr>
          <w:p w14:paraId="72C1D4BA" w14:textId="27F2B4C5" w:rsidR="00416913" w:rsidRPr="00E375BF" w:rsidRDefault="00416913" w:rsidP="00416913">
            <w:pPr>
              <w:pStyle w:val="Table"/>
            </w:pPr>
            <w:r w:rsidRPr="00E375BF">
              <w:t>We regularly review our mission needs and vehicle utilization to right size our fleet and will continue to do so through vehicle utilization surveys and quarterly meetings with our Fleet Liaisons. We have reduced our fleet from 534 to 451 vehicles since 2005, an 18</w:t>
            </w:r>
            <w:r w:rsidR="008C3E4B" w:rsidRPr="00E375BF">
              <w:t xml:space="preserve"> percent </w:t>
            </w:r>
            <w:r w:rsidRPr="00E375BF">
              <w:t>reduction.</w:t>
            </w:r>
          </w:p>
        </w:tc>
        <w:tc>
          <w:tcPr>
            <w:tcW w:w="2785" w:type="dxa"/>
            <w:tcBorders>
              <w:top w:val="single" w:sz="4" w:space="0" w:color="000000"/>
              <w:left w:val="single" w:sz="4" w:space="0" w:color="000000"/>
              <w:bottom w:val="single" w:sz="4" w:space="0" w:color="000000"/>
              <w:right w:val="single" w:sz="4" w:space="0" w:color="000000"/>
            </w:tcBorders>
          </w:tcPr>
          <w:p w14:paraId="110AD59D" w14:textId="4838493E" w:rsidR="00416913" w:rsidRPr="00E375BF" w:rsidRDefault="00416913" w:rsidP="008C3E4B">
            <w:pPr>
              <w:pStyle w:val="Table"/>
            </w:pPr>
            <w:r w:rsidRPr="00E375BF">
              <w:t>Use Alternative Fueling Station Locator system to ensure 100</w:t>
            </w:r>
            <w:r w:rsidR="008C3E4B" w:rsidRPr="00E375BF">
              <w:t xml:space="preserve"> percent</w:t>
            </w:r>
            <w:r w:rsidRPr="00E375BF">
              <w:t xml:space="preserve"> of FY 2018 new vehicle acquisitions match local fuel infrastructure availability.</w:t>
            </w:r>
          </w:p>
        </w:tc>
      </w:tr>
      <w:tr w:rsidR="00416913" w:rsidRPr="00174DC2" w14:paraId="5D194820"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31420C22" w14:textId="2DF0CA8B" w:rsidR="00416913" w:rsidRPr="00174DC2" w:rsidRDefault="00416913" w:rsidP="00416913">
            <w:pPr>
              <w:pStyle w:val="Table"/>
            </w:pPr>
            <w:r w:rsidRPr="00174DC2">
              <w:t>Increase utilization of alternative fuel in dual-fuel vehicles.</w:t>
            </w:r>
          </w:p>
        </w:tc>
        <w:tc>
          <w:tcPr>
            <w:tcW w:w="3510" w:type="dxa"/>
            <w:tcBorders>
              <w:top w:val="single" w:sz="4" w:space="0" w:color="000000"/>
              <w:left w:val="single" w:sz="4" w:space="0" w:color="000000"/>
              <w:bottom w:val="single" w:sz="4" w:space="0" w:color="000000"/>
              <w:right w:val="single" w:sz="4" w:space="0" w:color="000000"/>
            </w:tcBorders>
          </w:tcPr>
          <w:p w14:paraId="7A8DA9E3" w14:textId="0C32F9F1" w:rsidR="00416913" w:rsidRPr="00E375BF" w:rsidRDefault="008C3E4B" w:rsidP="008C3E4B">
            <w:pPr>
              <w:pStyle w:val="Table"/>
            </w:pPr>
            <w:r w:rsidRPr="00E375BF">
              <w:t xml:space="preserve">We </w:t>
            </w:r>
            <w:r w:rsidR="00416913" w:rsidRPr="00E375BF">
              <w:t xml:space="preserve">implemented a monthly missed opportunity report and fuel usage report to identify vehicles that could have used E-85 flex fuel. </w:t>
            </w:r>
          </w:p>
        </w:tc>
        <w:tc>
          <w:tcPr>
            <w:tcW w:w="2785" w:type="dxa"/>
            <w:tcBorders>
              <w:top w:val="single" w:sz="4" w:space="0" w:color="000000"/>
              <w:left w:val="single" w:sz="4" w:space="0" w:color="000000"/>
              <w:bottom w:val="single" w:sz="4" w:space="0" w:color="000000"/>
              <w:right w:val="single" w:sz="4" w:space="0" w:color="000000"/>
            </w:tcBorders>
          </w:tcPr>
          <w:p w14:paraId="27BB7236" w14:textId="30B7C991" w:rsidR="00416913" w:rsidRPr="00E375BF" w:rsidRDefault="008C3E4B" w:rsidP="008C3E4B">
            <w:pPr>
              <w:pStyle w:val="Table"/>
            </w:pPr>
            <w:r w:rsidRPr="00E375BF">
              <w:t>I</w:t>
            </w:r>
            <w:r w:rsidR="00416913" w:rsidRPr="00E375BF">
              <w:t>ncrease the use of E-85 flex-fue</w:t>
            </w:r>
            <w:r w:rsidR="00F752D6" w:rsidRPr="00E375BF">
              <w:t>l from 14</w:t>
            </w:r>
            <w:r w:rsidRPr="00E375BF">
              <w:t xml:space="preserve"> percent </w:t>
            </w:r>
            <w:r w:rsidR="00F752D6" w:rsidRPr="00E375BF">
              <w:t>in FY 2016 to 20</w:t>
            </w:r>
            <w:r w:rsidR="00295180" w:rsidRPr="00E375BF">
              <w:t xml:space="preserve"> </w:t>
            </w:r>
            <w:r w:rsidRPr="00E375BF">
              <w:t xml:space="preserve">percent </w:t>
            </w:r>
            <w:r w:rsidR="00F752D6" w:rsidRPr="00E375BF">
              <w:t>in</w:t>
            </w:r>
            <w:r w:rsidR="00416913" w:rsidRPr="00E375BF">
              <w:t xml:space="preserve"> FY 2018.</w:t>
            </w:r>
          </w:p>
        </w:tc>
      </w:tr>
      <w:tr w:rsidR="00416913" w:rsidRPr="00174DC2" w14:paraId="7C92CA3D"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0FA7B053" w14:textId="4BA31EDE" w:rsidR="00416913" w:rsidRPr="00174DC2" w:rsidRDefault="00416913" w:rsidP="00416913">
            <w:pPr>
              <w:pStyle w:val="Table"/>
            </w:pPr>
            <w:r w:rsidRPr="00174DC2">
              <w:t>Minimi</w:t>
            </w:r>
            <w:r>
              <w:t>ze use of law enforcement exemptions by implementing</w:t>
            </w:r>
            <w:r w:rsidRPr="00174DC2">
              <w:t xml:space="preserve"> GSA Bulletin FMR B-33, </w:t>
            </w:r>
            <w:r w:rsidRPr="00174DC2">
              <w:rPr>
                <w:i/>
              </w:rPr>
              <w:t>Motor Vehicle Management, Alternative Fuel Vehicle Guidance for Law Enforceme</w:t>
            </w:r>
            <w:r>
              <w:rPr>
                <w:i/>
              </w:rPr>
              <w:t>nt and Emergency Vehicle Fleets.</w:t>
            </w:r>
          </w:p>
        </w:tc>
        <w:tc>
          <w:tcPr>
            <w:tcW w:w="3510" w:type="dxa"/>
            <w:tcBorders>
              <w:top w:val="single" w:sz="4" w:space="0" w:color="000000"/>
              <w:left w:val="single" w:sz="4" w:space="0" w:color="000000"/>
              <w:bottom w:val="single" w:sz="4" w:space="0" w:color="000000"/>
              <w:right w:val="single" w:sz="4" w:space="0" w:color="000000"/>
            </w:tcBorders>
          </w:tcPr>
          <w:p w14:paraId="181741E2" w14:textId="717A2690" w:rsidR="00416913" w:rsidRPr="00E375BF" w:rsidRDefault="008C3E4B" w:rsidP="008C3E4B">
            <w:pPr>
              <w:pStyle w:val="Table"/>
            </w:pPr>
            <w:r w:rsidRPr="00E375BF">
              <w:t>We</w:t>
            </w:r>
            <w:r w:rsidR="00416913" w:rsidRPr="00E375BF">
              <w:t xml:space="preserve"> classified most of </w:t>
            </w:r>
            <w:r w:rsidRPr="00E375BF">
              <w:t xml:space="preserve">our </w:t>
            </w:r>
            <w:r w:rsidR="00416913" w:rsidRPr="00E375BF">
              <w:t>LE vehicles as Category II vehicles</w:t>
            </w:r>
            <w:r w:rsidRPr="00E375BF">
              <w:t xml:space="preserve"> and </w:t>
            </w:r>
            <w:r w:rsidR="00416913" w:rsidRPr="00E375BF">
              <w:t>will continue to procure Category II, Low GHG vehicles, and Alternative Fuel vehicles in FY 2018.  100</w:t>
            </w:r>
            <w:r w:rsidRPr="00E375BF">
              <w:t xml:space="preserve"> percent</w:t>
            </w:r>
            <w:r w:rsidR="00416913" w:rsidRPr="00E375BF">
              <w:t xml:space="preserve"> of all new LE acquisitions are Category II vehicles.  To date</w:t>
            </w:r>
            <w:r w:rsidRPr="00E375BF">
              <w:t xml:space="preserve">, </w:t>
            </w:r>
            <w:r w:rsidR="00416913" w:rsidRPr="00E375BF">
              <w:t xml:space="preserve">we have not exempted any LE II vehicles from our reporting requirements.   </w:t>
            </w:r>
          </w:p>
        </w:tc>
        <w:tc>
          <w:tcPr>
            <w:tcW w:w="2785" w:type="dxa"/>
            <w:tcBorders>
              <w:top w:val="single" w:sz="4" w:space="0" w:color="000000"/>
              <w:left w:val="single" w:sz="4" w:space="0" w:color="000000"/>
              <w:bottom w:val="single" w:sz="4" w:space="0" w:color="000000"/>
              <w:right w:val="single" w:sz="4" w:space="0" w:color="000000"/>
            </w:tcBorders>
          </w:tcPr>
          <w:p w14:paraId="4F47479A" w14:textId="5107B763" w:rsidR="00416913" w:rsidRPr="00E375BF" w:rsidRDefault="008C3E4B" w:rsidP="008C3E4B">
            <w:pPr>
              <w:pStyle w:val="Table"/>
            </w:pPr>
            <w:r w:rsidRPr="00E375BF">
              <w:t>C</w:t>
            </w:r>
            <w:r w:rsidR="00416913" w:rsidRPr="00E375BF">
              <w:t>urrently ha</w:t>
            </w:r>
            <w:r w:rsidRPr="00E375BF">
              <w:t>ve</w:t>
            </w:r>
            <w:r w:rsidR="00416913" w:rsidRPr="00E375BF">
              <w:t xml:space="preserve"> 2 LE I vehicles with an LE exemption.</w:t>
            </w:r>
            <w:r w:rsidR="00F752D6" w:rsidRPr="00E375BF">
              <w:t xml:space="preserve"> Any additional exempt vehicles will be accounted for.</w:t>
            </w:r>
          </w:p>
        </w:tc>
      </w:tr>
      <w:tr w:rsidR="00416913" w:rsidRPr="00174DC2" w14:paraId="16E4A4BD" w14:textId="77777777" w:rsidTr="00F752D6">
        <w:trPr>
          <w:cantSplit/>
        </w:trPr>
        <w:tc>
          <w:tcPr>
            <w:tcW w:w="3775" w:type="dxa"/>
            <w:tcBorders>
              <w:top w:val="single" w:sz="4" w:space="0" w:color="000000"/>
              <w:left w:val="single" w:sz="4" w:space="0" w:color="000000"/>
              <w:bottom w:val="single" w:sz="4" w:space="0" w:color="000000"/>
              <w:right w:val="single" w:sz="4" w:space="0" w:color="000000"/>
            </w:tcBorders>
          </w:tcPr>
          <w:p w14:paraId="4650A234" w14:textId="2571D88C" w:rsidR="00416913" w:rsidRPr="00174DC2" w:rsidRDefault="00416913" w:rsidP="00416913">
            <w:pPr>
              <w:pStyle w:val="Table"/>
            </w:pPr>
            <w:r>
              <w:t>Establish policy/plan to reduce miles traveled, e.g. through vehicle sharing</w:t>
            </w:r>
            <w:r w:rsidRPr="00174DC2">
              <w:t xml:space="preserve">, </w:t>
            </w:r>
            <w:r>
              <w:t xml:space="preserve">improving </w:t>
            </w:r>
            <w:r w:rsidRPr="00174DC2">
              <w:t>ro</w:t>
            </w:r>
            <w:r>
              <w:t>uting with telematics, eliminating trips, improving scheduling, and using shuttles, etc.</w:t>
            </w:r>
          </w:p>
        </w:tc>
        <w:tc>
          <w:tcPr>
            <w:tcW w:w="3510" w:type="dxa"/>
            <w:tcBorders>
              <w:top w:val="single" w:sz="4" w:space="0" w:color="000000"/>
              <w:left w:val="single" w:sz="4" w:space="0" w:color="000000"/>
              <w:bottom w:val="single" w:sz="4" w:space="0" w:color="000000"/>
              <w:right w:val="single" w:sz="4" w:space="0" w:color="000000"/>
            </w:tcBorders>
          </w:tcPr>
          <w:p w14:paraId="1C70E30A" w14:textId="12D90629" w:rsidR="00416913" w:rsidRPr="00E375BF" w:rsidRDefault="008C3E4B" w:rsidP="008C3E4B">
            <w:pPr>
              <w:pStyle w:val="Table"/>
            </w:pPr>
            <w:r w:rsidRPr="00E375BF">
              <w:t>We</w:t>
            </w:r>
            <w:r w:rsidR="00416913" w:rsidRPr="00E375BF">
              <w:t xml:space="preserve"> established a robust shuttle system between </w:t>
            </w:r>
            <w:r w:rsidRPr="00E375BF">
              <w:t xml:space="preserve">our HQ </w:t>
            </w:r>
            <w:r w:rsidR="00416913" w:rsidRPr="00E375BF">
              <w:t xml:space="preserve">facilities and for regional employees visiting </w:t>
            </w:r>
            <w:r w:rsidRPr="00E375BF">
              <w:t>HQ</w:t>
            </w:r>
            <w:r w:rsidR="00416913" w:rsidRPr="00E375BF">
              <w:t xml:space="preserve">, which precludes unnecessary travel by </w:t>
            </w:r>
            <w:r w:rsidRPr="00E375BF">
              <w:t>G</w:t>
            </w:r>
            <w:r w:rsidR="00416913" w:rsidRPr="00E375BF">
              <w:t>overnment employees between facilities and the need for rental cars for visiting employees.  In addition, we collaborated with the Center for Medicare and Medicaid Services to provide a ride sharing service between our offices in Baltimore and Metropolitan D.C. areas.</w:t>
            </w:r>
          </w:p>
        </w:tc>
        <w:tc>
          <w:tcPr>
            <w:tcW w:w="2785" w:type="dxa"/>
            <w:tcBorders>
              <w:top w:val="single" w:sz="4" w:space="0" w:color="000000"/>
              <w:left w:val="single" w:sz="4" w:space="0" w:color="000000"/>
              <w:bottom w:val="single" w:sz="4" w:space="0" w:color="000000"/>
              <w:right w:val="single" w:sz="4" w:space="0" w:color="000000"/>
            </w:tcBorders>
          </w:tcPr>
          <w:p w14:paraId="31C2BD4B" w14:textId="54E78429" w:rsidR="00416913" w:rsidRPr="00E375BF" w:rsidRDefault="00416913" w:rsidP="008C3E4B">
            <w:pPr>
              <w:pStyle w:val="Table"/>
            </w:pPr>
            <w:r w:rsidRPr="00E375BF">
              <w:t xml:space="preserve">Petroleum based fuel used by the </w:t>
            </w:r>
            <w:r w:rsidR="008C3E4B" w:rsidRPr="00E375BF">
              <w:t>a</w:t>
            </w:r>
            <w:r w:rsidRPr="00E375BF">
              <w:t>gency’s fleet reduced by at least 25</w:t>
            </w:r>
            <w:r w:rsidR="008C3E4B" w:rsidRPr="00E375BF">
              <w:t xml:space="preserve"> percent </w:t>
            </w:r>
            <w:r w:rsidRPr="00E375BF">
              <w:t>from 2005 baseline.</w:t>
            </w:r>
          </w:p>
        </w:tc>
      </w:tr>
    </w:tbl>
    <w:p w14:paraId="7F8C081A" w14:textId="77777777" w:rsidR="00733DF2" w:rsidRPr="00EF5103" w:rsidRDefault="00733DF2" w:rsidP="008F12D7"/>
    <w:p w14:paraId="6F18CC64" w14:textId="41009A74" w:rsidR="00916820" w:rsidRDefault="00916820">
      <w:pPr>
        <w:widowControl w:val="0"/>
        <w:spacing w:after="200" w:line="276" w:lineRule="auto"/>
        <w:rPr>
          <w:b/>
          <w:sz w:val="28"/>
          <w:szCs w:val="36"/>
        </w:rPr>
      </w:pPr>
      <w:bookmarkStart w:id="59" w:name="_Toc441069299"/>
    </w:p>
    <w:p w14:paraId="2DEA5BC0" w14:textId="77777777" w:rsidR="00E52A85" w:rsidRDefault="00E52A85">
      <w:pPr>
        <w:widowControl w:val="0"/>
        <w:spacing w:after="200" w:line="276" w:lineRule="auto"/>
        <w:rPr>
          <w:b/>
          <w:sz w:val="28"/>
          <w:szCs w:val="36"/>
        </w:rPr>
      </w:pPr>
    </w:p>
    <w:p w14:paraId="16EFCE50" w14:textId="77777777" w:rsidR="00BA304C" w:rsidRDefault="00BA304C">
      <w:pPr>
        <w:widowControl w:val="0"/>
        <w:spacing w:after="200" w:line="276" w:lineRule="auto"/>
        <w:rPr>
          <w:b/>
          <w:sz w:val="28"/>
          <w:szCs w:val="36"/>
        </w:rPr>
      </w:pPr>
      <w:r>
        <w:br w:type="page"/>
      </w:r>
    </w:p>
    <w:p w14:paraId="60CE059E" w14:textId="4D8F8BB7" w:rsidR="00953B4C" w:rsidRPr="00953B4C" w:rsidRDefault="008F12D7" w:rsidP="00BD722F">
      <w:pPr>
        <w:pStyle w:val="Heading2"/>
      </w:pPr>
      <w:bookmarkStart w:id="60" w:name="_Toc486579601"/>
      <w:r w:rsidRPr="008F12D7">
        <w:t>Goal 6: Sustainable Acquisition</w:t>
      </w:r>
      <w:bookmarkEnd w:id="59"/>
      <w:bookmarkEnd w:id="60"/>
    </w:p>
    <w:p w14:paraId="6575CE69" w14:textId="4123CCCA" w:rsidR="008F12D7" w:rsidRPr="00174DC2" w:rsidRDefault="008F12D7" w:rsidP="008F12D7">
      <w:pPr>
        <w:pStyle w:val="Heading3"/>
      </w:pPr>
      <w:bookmarkStart w:id="61" w:name="_Toc416894475"/>
      <w:bookmarkStart w:id="62" w:name="_Toc441069300"/>
      <w:bookmarkStart w:id="63" w:name="_Toc444272907"/>
      <w:r w:rsidRPr="00174DC2">
        <w:t>Sustainable Acquisition</w:t>
      </w:r>
      <w:bookmarkEnd w:id="61"/>
      <w:bookmarkEnd w:id="62"/>
      <w:r w:rsidR="004066DC">
        <w:t xml:space="preserve"> Goal</w:t>
      </w:r>
      <w:bookmarkEnd w:id="63"/>
    </w:p>
    <w:p w14:paraId="737C81B6" w14:textId="77777777" w:rsidR="008F12D7" w:rsidRPr="00174DC2" w:rsidRDefault="008F12D7" w:rsidP="008F12D7">
      <w:r w:rsidRPr="00174DC2">
        <w:t xml:space="preserve">E.O. 13693 </w:t>
      </w:r>
      <w:r>
        <w:t xml:space="preserve">section </w:t>
      </w:r>
      <w:r w:rsidRPr="00174DC2">
        <w:t xml:space="preserve">3(i) requires agencies to promote sustainable acquisition by ensuring that environmental performance and sustainability factors are considered to the maximum extent practicable for all applicable procurements in the planning, award and execution phases of acquisition. </w:t>
      </w:r>
    </w:p>
    <w:p w14:paraId="19B7CA1B" w14:textId="5677E939" w:rsidR="008F12D7" w:rsidRDefault="008F12D7" w:rsidP="008F12D7">
      <w:pPr>
        <w:pStyle w:val="Heading3"/>
      </w:pPr>
      <w:bookmarkStart w:id="64" w:name="_Toc441069301"/>
      <w:bookmarkStart w:id="65" w:name="_Toc444272908"/>
      <w:r>
        <w:t xml:space="preserve">Biobased </w:t>
      </w:r>
      <w:bookmarkEnd w:id="64"/>
      <w:r w:rsidR="004066DC">
        <w:t>Purchasing Targets</w:t>
      </w:r>
      <w:bookmarkEnd w:id="65"/>
    </w:p>
    <w:p w14:paraId="6E20C6EF" w14:textId="6470D4E5" w:rsidR="008F12D7" w:rsidRDefault="00B61100" w:rsidP="008F12D7">
      <w:r>
        <w:t xml:space="preserve">The </w:t>
      </w:r>
      <w:r w:rsidR="002717F5">
        <w:t xml:space="preserve">Agricultural Act of </w:t>
      </w:r>
      <w:r w:rsidR="009B3FBF">
        <w:t xml:space="preserve">2014 </w:t>
      </w:r>
      <w:r w:rsidR="007D7E63">
        <w:t xml:space="preserve">(Public Law 113-79) amends </w:t>
      </w:r>
      <w:r w:rsidR="009B3FBF">
        <w:t>Section</w:t>
      </w:r>
      <w:r w:rsidR="00744162">
        <w:t xml:space="preserve"> 9002</w:t>
      </w:r>
      <w:r w:rsidR="007D7E63">
        <w:t xml:space="preserve"> (a)(2)(A)(i) of the Farm Security and Rural Investment Act of 2002 to </w:t>
      </w:r>
      <w:r w:rsidR="002717F5">
        <w:t>establish a targeted biobased-only procurement requirement</w:t>
      </w:r>
      <w:r w:rsidR="007D7E63">
        <w:t xml:space="preserve"> under which the procuring agency shall issue a certain number of biobased-only contracts when the procuring agency is purchasing products, or purchasing services that include the use of products, that are included in a biobased product category</w:t>
      </w:r>
      <w:r w:rsidR="002717F5">
        <w:t xml:space="preserve">. </w:t>
      </w:r>
      <w:r w:rsidR="00BE3C91">
        <w:t>Therefore</w:t>
      </w:r>
      <w:r w:rsidR="002717F5">
        <w:t xml:space="preserve"> agencies </w:t>
      </w:r>
      <w:r w:rsidR="00BE3C91">
        <w:t xml:space="preserve">are </w:t>
      </w:r>
      <w:r w:rsidR="002717F5">
        <w:t>to</w:t>
      </w:r>
      <w:r w:rsidR="008F12D7">
        <w:t xml:space="preserve"> </w:t>
      </w:r>
      <w:r w:rsidR="008F12D7" w:rsidRPr="00174DC2">
        <w:t xml:space="preserve">establish an annual target for </w:t>
      </w:r>
      <w:r w:rsidR="0040139F">
        <w:t xml:space="preserve">increasing </w:t>
      </w:r>
      <w:r w:rsidR="008F12D7" w:rsidRPr="00174DC2">
        <w:t xml:space="preserve">the number of contracts to be awarded with BioPreferred and biobased criteria and </w:t>
      </w:r>
      <w:r w:rsidR="005C6304">
        <w:t xml:space="preserve">the </w:t>
      </w:r>
      <w:r w:rsidR="008F12D7" w:rsidRPr="00174DC2">
        <w:t>dollar value of BioPreferred and biobased products to be delivered and reported under those contract</w:t>
      </w:r>
      <w:r w:rsidR="00733DF2">
        <w:t>s in the following fiscal year.</w:t>
      </w:r>
      <w:r w:rsidR="00DC3AC7">
        <w:t xml:space="preserve"> </w:t>
      </w:r>
    </w:p>
    <w:p w14:paraId="7A7CB715" w14:textId="79666D36" w:rsidR="008F12D7" w:rsidRPr="00416913" w:rsidRDefault="003B6A7F" w:rsidP="008F12D7">
      <w:r w:rsidRPr="00416913">
        <w:t xml:space="preserve">For FY </w:t>
      </w:r>
      <w:r w:rsidR="00953B4C" w:rsidRPr="00416913">
        <w:t>2018</w:t>
      </w:r>
      <w:r w:rsidRPr="00416913">
        <w:t xml:space="preserve">, </w:t>
      </w:r>
      <w:r w:rsidR="00B22C8A">
        <w:t>SSA</w:t>
      </w:r>
      <w:r w:rsidRPr="00416913">
        <w:t xml:space="preserve"> has established a target of </w:t>
      </w:r>
      <w:r w:rsidR="00416913" w:rsidRPr="00F50712">
        <w:rPr>
          <w:color w:val="FF0000"/>
        </w:rPr>
        <w:t>21</w:t>
      </w:r>
      <w:r w:rsidR="00B22C8A">
        <w:t xml:space="preserve"> contracts and </w:t>
      </w:r>
      <w:r w:rsidR="00416913" w:rsidRPr="00F50712">
        <w:rPr>
          <w:color w:val="FF0000"/>
        </w:rPr>
        <w:t>$4,143,000</w:t>
      </w:r>
      <w:r w:rsidRPr="00F50712">
        <w:rPr>
          <w:color w:val="FF0000"/>
        </w:rPr>
        <w:t xml:space="preserve"> </w:t>
      </w:r>
      <w:r w:rsidRPr="00416913">
        <w:t xml:space="preserve">in </w:t>
      </w:r>
      <w:r w:rsidR="000F43BB" w:rsidRPr="00416913">
        <w:t xml:space="preserve">biobased </w:t>
      </w:r>
      <w:r w:rsidRPr="00416913">
        <w:t xml:space="preserve">products </w:t>
      </w:r>
      <w:r w:rsidR="005C6304" w:rsidRPr="00416913">
        <w:t xml:space="preserve">to be </w:t>
      </w:r>
      <w:r w:rsidRPr="00416913">
        <w:t xml:space="preserve">delivered. </w:t>
      </w:r>
    </w:p>
    <w:p w14:paraId="07FA3365" w14:textId="20F58ACD" w:rsidR="00981B37" w:rsidRPr="00EF0BA3" w:rsidRDefault="00981B37" w:rsidP="008C46FC">
      <w:pPr>
        <w:pStyle w:val="Heading3"/>
      </w:pPr>
      <w:r w:rsidRPr="00EF0BA3">
        <w:t>Chart: Percent of Applicable Contracts Containing Sustainable Acquisition Requirements</w:t>
      </w:r>
    </w:p>
    <w:p w14:paraId="3F773278" w14:textId="77777777" w:rsidR="00416913" w:rsidRDefault="00416913" w:rsidP="00416913">
      <w:pPr>
        <w:spacing w:after="0"/>
        <w:jc w:val="center"/>
      </w:pPr>
      <w:r>
        <w:t>Percent of Applicable Contracts Containing Sustainable Acquisition Requirements</w:t>
      </w:r>
    </w:p>
    <w:p w14:paraId="5AD80C78" w14:textId="77777777" w:rsidR="00416913" w:rsidRDefault="00416913" w:rsidP="00416913">
      <w:pPr>
        <w:spacing w:after="0"/>
        <w:jc w:val="center"/>
      </w:pPr>
    </w:p>
    <w:tbl>
      <w:tblPr>
        <w:tblStyle w:val="TableGrid"/>
        <w:tblW w:w="6565" w:type="dxa"/>
        <w:jc w:val="center"/>
        <w:tblLook w:val="04A0" w:firstRow="1" w:lastRow="0" w:firstColumn="1" w:lastColumn="0" w:noHBand="0" w:noVBand="1"/>
      </w:tblPr>
      <w:tblGrid>
        <w:gridCol w:w="3119"/>
        <w:gridCol w:w="3446"/>
      </w:tblGrid>
      <w:tr w:rsidR="00416913" w:rsidRPr="006603DC" w14:paraId="564F740C" w14:textId="77777777" w:rsidTr="00FE34F7">
        <w:trPr>
          <w:trHeight w:val="440"/>
          <w:jc w:val="center"/>
        </w:trPr>
        <w:tc>
          <w:tcPr>
            <w:tcW w:w="3119" w:type="dxa"/>
            <w:vAlign w:val="center"/>
          </w:tcPr>
          <w:p w14:paraId="2D63407F" w14:textId="77777777" w:rsidR="00416913" w:rsidRPr="006603DC" w:rsidRDefault="00416913" w:rsidP="00FE34F7">
            <w:pPr>
              <w:jc w:val="center"/>
              <w:rPr>
                <w:rFonts w:cs="Times New Roman"/>
              </w:rPr>
            </w:pPr>
            <w:r>
              <w:rPr>
                <w:rFonts w:cs="Times New Roman"/>
              </w:rPr>
              <w:t># of Contracts Reviewed</w:t>
            </w:r>
          </w:p>
        </w:tc>
        <w:tc>
          <w:tcPr>
            <w:tcW w:w="3446" w:type="dxa"/>
            <w:vAlign w:val="center"/>
          </w:tcPr>
          <w:p w14:paraId="53AE0700" w14:textId="77777777" w:rsidR="00416913" w:rsidRPr="006603DC" w:rsidRDefault="00416913" w:rsidP="00FE34F7">
            <w:pPr>
              <w:jc w:val="center"/>
              <w:rPr>
                <w:rFonts w:cs="Times New Roman"/>
              </w:rPr>
            </w:pPr>
            <w:r>
              <w:rPr>
                <w:rFonts w:cs="Times New Roman"/>
              </w:rPr>
              <w:t>Percentage Compliant</w:t>
            </w:r>
          </w:p>
        </w:tc>
      </w:tr>
      <w:tr w:rsidR="00416913" w:rsidRPr="006603DC" w14:paraId="5B3AC4F6" w14:textId="77777777" w:rsidTr="00FE34F7">
        <w:trPr>
          <w:trHeight w:val="728"/>
          <w:jc w:val="center"/>
        </w:trPr>
        <w:tc>
          <w:tcPr>
            <w:tcW w:w="3119" w:type="dxa"/>
          </w:tcPr>
          <w:p w14:paraId="4123E386" w14:textId="77777777" w:rsidR="00416913" w:rsidRPr="006603DC" w:rsidRDefault="00416913" w:rsidP="00FE34F7">
            <w:pPr>
              <w:rPr>
                <w:rFonts w:cs="Times New Roman"/>
                <w:i/>
                <w:sz w:val="18"/>
              </w:rPr>
            </w:pPr>
            <w:r w:rsidRPr="006603DC">
              <w:rPr>
                <w:rFonts w:cs="Times New Roman"/>
                <w:i/>
                <w:noProof/>
                <w:sz w:val="14"/>
              </w:rPr>
              <mc:AlternateContent>
                <mc:Choice Requires="wps">
                  <w:drawing>
                    <wp:anchor distT="45720" distB="45720" distL="114300" distR="114300" simplePos="0" relativeHeight="251656192" behindDoc="0" locked="0" layoutInCell="1" allowOverlap="1" wp14:anchorId="1D23420F" wp14:editId="42D93752">
                      <wp:simplePos x="0" y="0"/>
                      <wp:positionH relativeFrom="column">
                        <wp:posOffset>443865</wp:posOffset>
                      </wp:positionH>
                      <wp:positionV relativeFrom="paragraph">
                        <wp:posOffset>95885</wp:posOffset>
                      </wp:positionV>
                      <wp:extent cx="863600" cy="276225"/>
                      <wp:effectExtent l="0" t="0" r="1270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6225"/>
                              </a:xfrm>
                              <a:prstGeom prst="rect">
                                <a:avLst/>
                              </a:prstGeom>
                              <a:solidFill>
                                <a:srgbClr val="FFFFFF"/>
                              </a:solidFill>
                              <a:ln w="9525">
                                <a:solidFill>
                                  <a:srgbClr val="000000"/>
                                </a:solidFill>
                                <a:miter lim="800000"/>
                                <a:headEnd/>
                                <a:tailEnd/>
                              </a:ln>
                            </wps:spPr>
                            <wps:txbx>
                              <w:txbxContent>
                                <w:p w14:paraId="2DD51E98" w14:textId="77777777" w:rsidR="006F131A" w:rsidRDefault="006F131A" w:rsidP="00416913">
                                  <w:pPr>
                                    <w:jc w:val="center"/>
                                  </w:pPr>
                                  <w:r>
                                    <w:t>53</w:t>
                                  </w:r>
                                </w:p>
                                <w:p w14:paraId="64037992" w14:textId="77777777" w:rsidR="006F131A" w:rsidRDefault="006F131A" w:rsidP="0041691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1D23420F" id="_x0000_t202" coordsize="21600,21600" o:spt="202" path="m,l,21600r21600,l21600,xe">
                      <v:stroke joinstyle="miter"/>
                      <v:path gradientshapeok="t" o:connecttype="rect"/>
                    </v:shapetype>
                    <v:shape id="Text Box 2" o:spid="_x0000_s1026" type="#_x0000_t202" style="position:absolute;margin-left:34.95pt;margin-top:7.55pt;width:68pt;height:21.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">
                      <v:textbox>
                        <w:txbxContent>
                          <w:p w14:paraId="2DD51E98" w14:textId="77777777" w:rsidR="006F131A" w:rsidRDefault="006F131A" w:rsidP="00416913">
                            <w:pPr>
                              <w:jc w:val="center"/>
                            </w:pPr>
                            <w:r>
                              <w:t>53</w:t>
                            </w:r>
                          </w:p>
                          <w:p w14:paraId="64037992" w14:textId="77777777" w:rsidR="006F131A" w:rsidRDefault="006F131A" w:rsidP="00416913">
                            <w:pPr>
                              <w:jc w:val="center"/>
                            </w:pPr>
                          </w:p>
                        </w:txbxContent>
                      </v:textbox>
                      <w10:wrap type="square"/>
                    </v:shape>
                  </w:pict>
                </mc:Fallback>
              </mc:AlternateContent>
            </w:r>
          </w:p>
        </w:tc>
        <w:tc>
          <w:tcPr>
            <w:tcW w:w="3446" w:type="dxa"/>
          </w:tcPr>
          <w:p w14:paraId="18DC6C7D" w14:textId="77777777" w:rsidR="00416913" w:rsidRPr="006603DC" w:rsidRDefault="00416913" w:rsidP="00FE34F7">
            <w:pPr>
              <w:rPr>
                <w:rFonts w:cs="Times New Roman"/>
              </w:rPr>
            </w:pPr>
            <w:r w:rsidRPr="006603DC">
              <w:rPr>
                <w:rFonts w:cs="Times New Roman"/>
                <w:i/>
                <w:noProof/>
                <w:sz w:val="14"/>
              </w:rPr>
              <mc:AlternateContent>
                <mc:Choice Requires="wps">
                  <w:drawing>
                    <wp:anchor distT="45720" distB="45720" distL="114300" distR="114300" simplePos="0" relativeHeight="251658240" behindDoc="0" locked="0" layoutInCell="1" allowOverlap="1" wp14:anchorId="4E82CB4D" wp14:editId="2165CE9A">
                      <wp:simplePos x="0" y="0"/>
                      <wp:positionH relativeFrom="column">
                        <wp:posOffset>621030</wp:posOffset>
                      </wp:positionH>
                      <wp:positionV relativeFrom="paragraph">
                        <wp:posOffset>95885</wp:posOffset>
                      </wp:positionV>
                      <wp:extent cx="863600" cy="295275"/>
                      <wp:effectExtent l="0" t="0" r="127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95275"/>
                              </a:xfrm>
                              <a:prstGeom prst="rect">
                                <a:avLst/>
                              </a:prstGeom>
                              <a:solidFill>
                                <a:srgbClr val="FFFFFF"/>
                              </a:solidFill>
                              <a:ln w="9525">
                                <a:solidFill>
                                  <a:srgbClr val="000000"/>
                                </a:solidFill>
                                <a:miter lim="800000"/>
                                <a:headEnd/>
                                <a:tailEnd/>
                              </a:ln>
                            </wps:spPr>
                            <wps:txbx>
                              <w:txbxContent>
                                <w:p w14:paraId="745BB366" w14:textId="77777777" w:rsidR="006F131A" w:rsidRPr="0018619D" w:rsidRDefault="006F131A" w:rsidP="00416913">
                                  <w:pPr>
                                    <w:jc w:val="center"/>
                                  </w:pPr>
                                  <w:r>
                                    <w:t>100.0</w:t>
                                  </w:r>
                                  <w:r w:rsidRPr="0018619D">
                                    <w:t>%</w:t>
                                  </w:r>
                                </w:p>
                                <w:p w14:paraId="7CFE3654" w14:textId="77777777" w:rsidR="006F131A" w:rsidRDefault="006F131A" w:rsidP="0041691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4E82CB4D" id="_x0000_s1027" type="#_x0000_t202" style="position:absolute;margin-left:48.9pt;margin-top:7.55pt;width:68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">
                      <v:textbox>
                        <w:txbxContent>
                          <w:p w14:paraId="745BB366" w14:textId="77777777" w:rsidR="006F131A" w:rsidRPr="0018619D" w:rsidRDefault="006F131A" w:rsidP="00416913">
                            <w:pPr>
                              <w:jc w:val="center"/>
                            </w:pPr>
                            <w:r>
                              <w:t>100.0</w:t>
                            </w:r>
                            <w:r w:rsidRPr="0018619D">
                              <w:t>%</w:t>
                            </w:r>
                          </w:p>
                          <w:p w14:paraId="7CFE3654" w14:textId="77777777" w:rsidR="006F131A" w:rsidRDefault="006F131A" w:rsidP="00416913">
                            <w:pPr>
                              <w:jc w:val="center"/>
                            </w:pPr>
                          </w:p>
                        </w:txbxContent>
                      </v:textbox>
                      <w10:wrap type="square"/>
                    </v:shape>
                  </w:pict>
                </mc:Fallback>
              </mc:AlternateContent>
            </w:r>
          </w:p>
        </w:tc>
      </w:tr>
    </w:tbl>
    <w:p w14:paraId="6E6EEB2F" w14:textId="7F9282CE" w:rsidR="003B6A7F" w:rsidRDefault="00416913" w:rsidP="00416913">
      <w:pPr>
        <w:ind w:left="720" w:firstLine="720"/>
      </w:pPr>
      <w:r w:rsidRPr="00C90D52">
        <w:rPr>
          <w:sz w:val="16"/>
          <w:szCs w:val="16"/>
        </w:rPr>
        <w:t>Based on agency-reported results of quarterly reviews of at least 5% of applicable contract actions.</w:t>
      </w:r>
    </w:p>
    <w:p w14:paraId="6FBE4ECF" w14:textId="43F9E013" w:rsidR="006D21A9" w:rsidRPr="00F50712" w:rsidRDefault="00416913" w:rsidP="006D21A9">
      <w:pPr>
        <w:spacing w:after="160" w:line="259" w:lineRule="auto"/>
        <w:rPr>
          <w:rFonts w:cs="Times New Roman"/>
          <w:color w:val="FF0000"/>
          <w:szCs w:val="24"/>
        </w:rPr>
      </w:pPr>
      <w:r w:rsidRPr="00F50712">
        <w:rPr>
          <w:rFonts w:cs="Times New Roman"/>
          <w:color w:val="FF0000"/>
          <w:szCs w:val="24"/>
        </w:rPr>
        <w:t>SSA provides agency</w:t>
      </w:r>
      <w:r w:rsidR="008C3E4B">
        <w:rPr>
          <w:rFonts w:cs="Times New Roman"/>
          <w:color w:val="FF0000"/>
          <w:szCs w:val="24"/>
        </w:rPr>
        <w:t>-</w:t>
      </w:r>
      <w:r w:rsidRPr="00F50712">
        <w:rPr>
          <w:rFonts w:cs="Times New Roman"/>
          <w:color w:val="FF0000"/>
          <w:szCs w:val="24"/>
        </w:rPr>
        <w:t xml:space="preserve">specific sustainable acquisition policy in our Acquisition Handbook, Green Purchasing Plan, and Micro-purchasing manual.  We issue quarterly reminders and hold bi-monthly and quarterly forums to educate contract-related staff about their sustainable acquisition roles and responsibilities.  We are in the process of updating our sustainable acquisition policy and await the appointment and confirmation of our new Commissioner to complete these updates.  </w:t>
      </w:r>
      <w:r w:rsidR="006D21A9" w:rsidRPr="00F50712">
        <w:rPr>
          <w:rFonts w:cs="Times New Roman"/>
          <w:color w:val="FF0000"/>
          <w:szCs w:val="24"/>
        </w:rPr>
        <w:t xml:space="preserve"> </w:t>
      </w:r>
    </w:p>
    <w:p w14:paraId="7EE0E383" w14:textId="04B2A632" w:rsidR="00733DF2" w:rsidRPr="00307697" w:rsidRDefault="00733DF2" w:rsidP="00733DF2">
      <w:pPr>
        <w:pStyle w:val="Heading3"/>
        <w:rPr>
          <w:b w:val="0"/>
          <w:i/>
        </w:rPr>
      </w:pPr>
      <w:bookmarkStart w:id="66" w:name="_Toc444272909"/>
      <w:bookmarkStart w:id="67" w:name="_Toc441069302"/>
      <w:r>
        <w:t>Sustainable Acquisition Strategies</w:t>
      </w:r>
      <w:bookmarkEnd w:id="66"/>
      <w:r w:rsidR="003B6468">
        <w:t xml:space="preserve"> for Fiscal Year 2018</w:t>
      </w:r>
    </w:p>
    <w:tbl>
      <w:tblPr>
        <w:tblW w:w="4958" w:type="pct"/>
        <w:tblLayout w:type="fixed"/>
        <w:tblCellMar>
          <w:left w:w="0" w:type="dxa"/>
          <w:right w:w="0" w:type="dxa"/>
        </w:tblCellMar>
        <w:tblLook w:val="01E0" w:firstRow="1" w:lastRow="1" w:firstColumn="1" w:lastColumn="1" w:noHBand="0" w:noVBand="0"/>
      </w:tblPr>
      <w:tblGrid>
        <w:gridCol w:w="2515"/>
        <w:gridCol w:w="4770"/>
        <w:gridCol w:w="2700"/>
      </w:tblGrid>
      <w:tr w:rsidR="00307697" w:rsidRPr="00EB49B5" w14:paraId="46FFCDCD" w14:textId="77777777" w:rsidTr="008B541B">
        <w:trPr>
          <w:cantSplit/>
          <w:tblHeader/>
        </w:trPr>
        <w:tc>
          <w:tcPr>
            <w:tcW w:w="2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E43E52" w14:textId="77777777" w:rsidR="00307697" w:rsidRPr="00EB49B5" w:rsidRDefault="00307697" w:rsidP="002E256D">
            <w:pPr>
              <w:pStyle w:val="Table"/>
              <w:jc w:val="center"/>
              <w:rPr>
                <w:b/>
              </w:rPr>
            </w:pPr>
            <w:r w:rsidRPr="00EB49B5">
              <w:rPr>
                <w:b/>
              </w:rPr>
              <w:t>Strategy</w:t>
            </w:r>
          </w:p>
        </w:tc>
        <w:tc>
          <w:tcPr>
            <w:tcW w:w="47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FFA3110" w14:textId="77777777" w:rsidR="00307697" w:rsidRPr="00EB49B5" w:rsidRDefault="00307697" w:rsidP="002E256D">
            <w:pPr>
              <w:pStyle w:val="Table"/>
              <w:jc w:val="center"/>
              <w:rPr>
                <w:b/>
              </w:rPr>
            </w:pPr>
            <w:r>
              <w:rPr>
                <w:b/>
              </w:rPr>
              <w:t>Strategy Narrative</w:t>
            </w:r>
          </w:p>
        </w:tc>
        <w:tc>
          <w:tcPr>
            <w:tcW w:w="2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3922FB" w14:textId="77777777" w:rsidR="00307697" w:rsidRPr="00EB49B5" w:rsidRDefault="00307697" w:rsidP="002E256D">
            <w:pPr>
              <w:pStyle w:val="Table"/>
              <w:jc w:val="center"/>
              <w:rPr>
                <w:b/>
              </w:rPr>
            </w:pPr>
            <w:r>
              <w:rPr>
                <w:b/>
              </w:rPr>
              <w:t>Targets and Metrics</w:t>
            </w:r>
          </w:p>
        </w:tc>
      </w:tr>
      <w:tr w:rsidR="00416913" w:rsidRPr="00174DC2" w14:paraId="1FFDFD8F" w14:textId="77777777" w:rsidTr="00F50712">
        <w:trPr>
          <w:cantSplit/>
        </w:trPr>
        <w:tc>
          <w:tcPr>
            <w:tcW w:w="2515" w:type="dxa"/>
            <w:tcBorders>
              <w:top w:val="single" w:sz="4" w:space="0" w:color="000000"/>
              <w:left w:val="single" w:sz="4" w:space="0" w:color="000000"/>
              <w:bottom w:val="single" w:sz="4" w:space="0" w:color="000000"/>
              <w:right w:val="single" w:sz="4" w:space="0" w:color="000000"/>
            </w:tcBorders>
          </w:tcPr>
          <w:p w14:paraId="6841A9F5" w14:textId="7DED4FE1" w:rsidR="00416913" w:rsidRDefault="00416913" w:rsidP="00416913">
            <w:pPr>
              <w:pStyle w:val="Table"/>
            </w:pPr>
            <w:r>
              <w:t xml:space="preserve">Establish and implement policies to meet statutory mandates requiring purchasing preference for recycled content products, </w:t>
            </w:r>
            <w:r w:rsidRPr="00174DC2">
              <w:t>ENERGY STAR qualified and FEMP-designated products</w:t>
            </w:r>
            <w:r>
              <w:t xml:space="preserve">, and </w:t>
            </w:r>
            <w:r w:rsidRPr="00174DC2">
              <w:t>Bio</w:t>
            </w:r>
            <w:r>
              <w:t>P</w:t>
            </w:r>
            <w:r w:rsidRPr="00174DC2">
              <w:t>referred and biobased products designated by USDA</w:t>
            </w: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47AFA54D" w14:textId="6218AF28" w:rsidR="00416913" w:rsidRPr="00E375BF" w:rsidRDefault="00416913" w:rsidP="008C3E4B">
            <w:pPr>
              <w:pStyle w:val="Table"/>
            </w:pPr>
            <w:r w:rsidRPr="00E375BF">
              <w:t>We currently meet statutory mandates requiring purchase preference for recycled content products, Energy Star® qualified and FEMP-designated products, and Biopreferred and biobased products designated by USDA and will continue to do so.  We include the applicable Federal Acquisition Regulation (FAR) policy and clause prescriptions in our Green Purchasing Plan (Plan).  We ensure appropriate FAR clause inclusion during quarterly sustainable acquisition reviews and semi-annual acquisition management reviews.</w:t>
            </w:r>
          </w:p>
        </w:tc>
        <w:tc>
          <w:tcPr>
            <w:tcW w:w="2700" w:type="dxa"/>
            <w:tcBorders>
              <w:top w:val="single" w:sz="4" w:space="0" w:color="000000"/>
              <w:left w:val="single" w:sz="4" w:space="0" w:color="000000"/>
              <w:bottom w:val="single" w:sz="4" w:space="0" w:color="000000"/>
              <w:right w:val="single" w:sz="4" w:space="0" w:color="000000"/>
            </w:tcBorders>
          </w:tcPr>
          <w:p w14:paraId="0FABAAED" w14:textId="3B870270" w:rsidR="00416913" w:rsidRPr="00E375BF" w:rsidRDefault="008C3E4B" w:rsidP="00F50712">
            <w:pPr>
              <w:spacing w:after="0"/>
              <w:rPr>
                <w:sz w:val="22"/>
              </w:rPr>
            </w:pPr>
            <w:r w:rsidRPr="00E375BF">
              <w:rPr>
                <w:sz w:val="22"/>
              </w:rPr>
              <w:t>Conduct q</w:t>
            </w:r>
            <w:r w:rsidR="00416913" w:rsidRPr="00E375BF">
              <w:rPr>
                <w:sz w:val="22"/>
              </w:rPr>
              <w:t xml:space="preserve">uarterly </w:t>
            </w:r>
            <w:r w:rsidR="00295180" w:rsidRPr="00E375BF">
              <w:rPr>
                <w:sz w:val="22"/>
              </w:rPr>
              <w:t>sustainable acquisition</w:t>
            </w:r>
            <w:r w:rsidR="00416913" w:rsidRPr="00E375BF">
              <w:rPr>
                <w:sz w:val="22"/>
              </w:rPr>
              <w:t xml:space="preserve"> reviews and </w:t>
            </w:r>
          </w:p>
          <w:p w14:paraId="38654467" w14:textId="77EEEB81" w:rsidR="00416913" w:rsidRPr="00E375BF" w:rsidRDefault="00416913" w:rsidP="008C3E4B">
            <w:pPr>
              <w:pStyle w:val="Table"/>
            </w:pPr>
            <w:r w:rsidRPr="00E375BF">
              <w:t>semi-annual acquisition management reviews through June 2018.</w:t>
            </w:r>
          </w:p>
        </w:tc>
      </w:tr>
      <w:tr w:rsidR="00416913" w:rsidRPr="00174DC2" w14:paraId="3B0C6FF0" w14:textId="77777777" w:rsidTr="00F50712">
        <w:trPr>
          <w:cantSplit/>
        </w:trPr>
        <w:tc>
          <w:tcPr>
            <w:tcW w:w="2515" w:type="dxa"/>
            <w:tcBorders>
              <w:top w:val="single" w:sz="4" w:space="0" w:color="000000"/>
              <w:left w:val="single" w:sz="4" w:space="0" w:color="000000"/>
              <w:bottom w:val="single" w:sz="4" w:space="0" w:color="000000"/>
              <w:right w:val="single" w:sz="4" w:space="0" w:color="000000"/>
            </w:tcBorders>
          </w:tcPr>
          <w:p w14:paraId="50CAB30C" w14:textId="0D782319" w:rsidR="00416913" w:rsidRPr="00174DC2" w:rsidRDefault="00416913" w:rsidP="00416913">
            <w:pPr>
              <w:pStyle w:val="Table"/>
            </w:pPr>
            <w:r>
              <w:t>Establish and implement policies to purchase sustainable</w:t>
            </w:r>
            <w:r w:rsidRPr="00174DC2">
              <w:t xml:space="preserve"> products and services identified by EPA programs</w:t>
            </w:r>
            <w:r>
              <w:t>, including SNAP, WaterSense, Safer Choice, and Smart Way.</w:t>
            </w:r>
            <w:r w:rsidRPr="00174DC2">
              <w:t xml:space="preserve"> </w:t>
            </w:r>
          </w:p>
        </w:tc>
        <w:tc>
          <w:tcPr>
            <w:tcW w:w="4770" w:type="dxa"/>
            <w:tcBorders>
              <w:top w:val="single" w:sz="4" w:space="0" w:color="000000"/>
              <w:left w:val="single" w:sz="4" w:space="0" w:color="000000"/>
              <w:bottom w:val="single" w:sz="4" w:space="0" w:color="000000"/>
              <w:right w:val="single" w:sz="4" w:space="0" w:color="000000"/>
            </w:tcBorders>
          </w:tcPr>
          <w:p w14:paraId="3EEAE89B" w14:textId="3D08709B" w:rsidR="00416913" w:rsidRPr="00E375BF" w:rsidRDefault="00416913" w:rsidP="00F50712">
            <w:pPr>
              <w:pStyle w:val="Table"/>
            </w:pPr>
            <w:r w:rsidRPr="00E375BF">
              <w:t>We currently require purchasing preference for sustainable products and services identified by EPA programs, including SNAP and WaterSense, and we will continue to do so.  We include applicable FAR policy and clause prescriptions in our Plan.  We ensure appropriate FAR clause inclusion during quarterly sustainable acquisition reviews and semi-annual acquisition management reviews.  We will update our Plan to include Safer Choice labeled and Smart Way transport partners in sustainable products and services.</w:t>
            </w:r>
          </w:p>
        </w:tc>
        <w:tc>
          <w:tcPr>
            <w:tcW w:w="2700" w:type="dxa"/>
            <w:tcBorders>
              <w:top w:val="single" w:sz="4" w:space="0" w:color="000000"/>
              <w:left w:val="single" w:sz="4" w:space="0" w:color="000000"/>
              <w:bottom w:val="single" w:sz="4" w:space="0" w:color="000000"/>
              <w:right w:val="single" w:sz="4" w:space="0" w:color="000000"/>
            </w:tcBorders>
          </w:tcPr>
          <w:p w14:paraId="08E8B24F" w14:textId="2CCD8F42" w:rsidR="00416913" w:rsidRPr="00E375BF" w:rsidRDefault="008C3E4B" w:rsidP="00F50712">
            <w:pPr>
              <w:pStyle w:val="ListParagraph"/>
              <w:numPr>
                <w:ilvl w:val="0"/>
                <w:numId w:val="10"/>
              </w:numPr>
              <w:spacing w:after="0"/>
              <w:ind w:left="0"/>
              <w:rPr>
                <w:sz w:val="22"/>
              </w:rPr>
            </w:pPr>
            <w:r w:rsidRPr="00E375BF">
              <w:rPr>
                <w:sz w:val="22"/>
              </w:rPr>
              <w:t>Conduct q</w:t>
            </w:r>
            <w:r w:rsidR="00416913" w:rsidRPr="00E375BF">
              <w:rPr>
                <w:sz w:val="22"/>
              </w:rPr>
              <w:t xml:space="preserve">uarterly sustainable acquisition reviews and semi-annual acquisition management reviews through June 2018; and  </w:t>
            </w:r>
          </w:p>
          <w:p w14:paraId="54EA4957" w14:textId="2393202E" w:rsidR="00416913" w:rsidRPr="00E375BF" w:rsidRDefault="008C3E4B" w:rsidP="008C3E4B">
            <w:pPr>
              <w:numPr>
                <w:ilvl w:val="0"/>
                <w:numId w:val="10"/>
              </w:numPr>
              <w:spacing w:after="0"/>
              <w:ind w:left="0"/>
              <w:rPr>
                <w:sz w:val="22"/>
              </w:rPr>
            </w:pPr>
            <w:r w:rsidRPr="00E375BF">
              <w:rPr>
                <w:sz w:val="22"/>
              </w:rPr>
              <w:t xml:space="preserve">Update </w:t>
            </w:r>
            <w:r w:rsidR="00416913" w:rsidRPr="00E375BF">
              <w:rPr>
                <w:sz w:val="22"/>
              </w:rPr>
              <w:t xml:space="preserve">Plan when our new SSA Commissioner is </w:t>
            </w:r>
            <w:r w:rsidR="006F7BC4" w:rsidRPr="00E375BF">
              <w:rPr>
                <w:sz w:val="22"/>
              </w:rPr>
              <w:t xml:space="preserve">confirmed. </w:t>
            </w:r>
            <w:r w:rsidR="00416913" w:rsidRPr="00E375BF">
              <w:rPr>
                <w:sz w:val="22"/>
              </w:rPr>
              <w:t xml:space="preserve">Updates to the Plan </w:t>
            </w:r>
            <w:r w:rsidR="006F7BC4" w:rsidRPr="00E375BF">
              <w:rPr>
                <w:sz w:val="22"/>
              </w:rPr>
              <w:t xml:space="preserve">will be </w:t>
            </w:r>
            <w:r w:rsidR="00416913" w:rsidRPr="00E375BF">
              <w:rPr>
                <w:sz w:val="22"/>
              </w:rPr>
              <w:t xml:space="preserve">announced, and the Plan re-introduced through targeted training upon revision.   </w:t>
            </w:r>
          </w:p>
        </w:tc>
      </w:tr>
      <w:tr w:rsidR="00416913" w:rsidRPr="00174DC2" w14:paraId="1FF311E6" w14:textId="77777777" w:rsidTr="00F50712">
        <w:trPr>
          <w:cantSplit/>
        </w:trPr>
        <w:tc>
          <w:tcPr>
            <w:tcW w:w="2515" w:type="dxa"/>
            <w:tcBorders>
              <w:top w:val="single" w:sz="4" w:space="0" w:color="000000"/>
              <w:left w:val="single" w:sz="4" w:space="0" w:color="000000"/>
              <w:bottom w:val="single" w:sz="4" w:space="0" w:color="000000"/>
              <w:right w:val="single" w:sz="4" w:space="0" w:color="000000"/>
            </w:tcBorders>
          </w:tcPr>
          <w:p w14:paraId="04B661E9" w14:textId="1F4BCA04" w:rsidR="00416913" w:rsidRPr="00174DC2" w:rsidRDefault="00416913" w:rsidP="00416913">
            <w:pPr>
              <w:pStyle w:val="Table"/>
            </w:pPr>
            <w:r>
              <w:t>Establish and implement policies to p</w:t>
            </w:r>
            <w:r w:rsidRPr="00174DC2">
              <w:t xml:space="preserve">urchase environmentally preferable products and services </w:t>
            </w:r>
            <w:r>
              <w:t>that meet or exceed</w:t>
            </w:r>
            <w:r w:rsidRPr="00174DC2">
              <w:t xml:space="preserve"> specifications, standards, or </w:t>
            </w:r>
            <w:r>
              <w:t>labels recomme</w:t>
            </w:r>
            <w:r w:rsidRPr="00174DC2">
              <w:t>nded by EPA</w:t>
            </w: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44FFE1AA" w14:textId="7A70E804" w:rsidR="00416913" w:rsidRPr="00E375BF" w:rsidRDefault="00416913" w:rsidP="00F50712">
            <w:pPr>
              <w:pStyle w:val="Table"/>
            </w:pPr>
            <w:r w:rsidRPr="00E375BF">
              <w:t xml:space="preserve">We will continue to focus on improving the procurement of environmentally preferable products and services that meet or exceed specifications, standards, or labels recommended by EPA by referring to EPA’s Recommendations of Specifications, Standards, and Ecolabels for Federal Purchasing. </w:t>
            </w:r>
          </w:p>
        </w:tc>
        <w:tc>
          <w:tcPr>
            <w:tcW w:w="2700" w:type="dxa"/>
            <w:tcBorders>
              <w:top w:val="single" w:sz="4" w:space="0" w:color="000000"/>
              <w:left w:val="single" w:sz="4" w:space="0" w:color="000000"/>
              <w:bottom w:val="single" w:sz="4" w:space="0" w:color="000000"/>
              <w:right w:val="single" w:sz="4" w:space="0" w:color="000000"/>
            </w:tcBorders>
          </w:tcPr>
          <w:p w14:paraId="2781219B" w14:textId="76D65397" w:rsidR="00416913" w:rsidRPr="00E375BF" w:rsidRDefault="008C3E4B" w:rsidP="008C3E4B">
            <w:pPr>
              <w:pStyle w:val="Table"/>
            </w:pPr>
            <w:r w:rsidRPr="00E375BF">
              <w:t xml:space="preserve">Update </w:t>
            </w:r>
            <w:r w:rsidR="006F7BC4" w:rsidRPr="00E375BF">
              <w:t xml:space="preserve">Plan when our new SSA Commissioner is confirmed. </w:t>
            </w:r>
            <w:r w:rsidRPr="00E375BF">
              <w:t>Announce u</w:t>
            </w:r>
            <w:r w:rsidR="006F7BC4" w:rsidRPr="00E375BF">
              <w:t xml:space="preserve">pdates to the Plan, and </w:t>
            </w:r>
            <w:r w:rsidRPr="00E375BF">
              <w:t xml:space="preserve">re-introduce </w:t>
            </w:r>
            <w:r w:rsidR="006F7BC4" w:rsidRPr="00E375BF">
              <w:t xml:space="preserve">the Plan through targeted training upon revision.   </w:t>
            </w:r>
          </w:p>
        </w:tc>
      </w:tr>
      <w:tr w:rsidR="00416913" w:rsidRPr="00174DC2" w14:paraId="278369B5" w14:textId="77777777" w:rsidTr="00F50712">
        <w:trPr>
          <w:cantSplit/>
        </w:trPr>
        <w:tc>
          <w:tcPr>
            <w:tcW w:w="2515" w:type="dxa"/>
            <w:tcBorders>
              <w:top w:val="single" w:sz="4" w:space="0" w:color="000000"/>
              <w:left w:val="single" w:sz="4" w:space="0" w:color="000000"/>
              <w:bottom w:val="single" w:sz="4" w:space="0" w:color="000000"/>
              <w:right w:val="single" w:sz="4" w:space="0" w:color="000000"/>
            </w:tcBorders>
          </w:tcPr>
          <w:p w14:paraId="7BDFBF88" w14:textId="72C64ABC" w:rsidR="00416913" w:rsidRPr="00174DC2" w:rsidRDefault="00416913" w:rsidP="00416913">
            <w:pPr>
              <w:pStyle w:val="Table"/>
            </w:pPr>
            <w:r>
              <w:t>Use</w:t>
            </w:r>
            <w:r w:rsidRPr="00174DC2">
              <w:t xml:space="preserve"> </w:t>
            </w:r>
            <w:r>
              <w:t>Category Management</w:t>
            </w:r>
            <w:r w:rsidRPr="00174DC2">
              <w:t xml:space="preserve"> Initiatives</w:t>
            </w:r>
            <w:r>
              <w:t xml:space="preserve"> and government-wide acquisition vehicles that already include sustainable acquisition criteria. </w:t>
            </w:r>
          </w:p>
        </w:tc>
        <w:tc>
          <w:tcPr>
            <w:tcW w:w="4770" w:type="dxa"/>
            <w:tcBorders>
              <w:top w:val="single" w:sz="4" w:space="0" w:color="000000"/>
              <w:left w:val="single" w:sz="4" w:space="0" w:color="000000"/>
              <w:bottom w:val="single" w:sz="4" w:space="0" w:color="000000"/>
              <w:right w:val="single" w:sz="4" w:space="0" w:color="000000"/>
            </w:tcBorders>
          </w:tcPr>
          <w:p w14:paraId="5CF8D640" w14:textId="3C199FE4" w:rsidR="00416913" w:rsidRPr="00E375BF" w:rsidRDefault="00416913" w:rsidP="00F50712">
            <w:pPr>
              <w:pStyle w:val="Table"/>
              <w:rPr>
                <w:i/>
              </w:rPr>
            </w:pPr>
            <w:r w:rsidRPr="00E375BF">
              <w:t xml:space="preserve">We require contracting staff and micro-purchasers to consider sustainable office supplies from </w:t>
            </w:r>
            <w:r w:rsidR="00343B44" w:rsidRPr="00E375BF">
              <w:t>IDIQ</w:t>
            </w:r>
            <w:r w:rsidRPr="00E375BF">
              <w:t xml:space="preserve"> contracts with the Federal Strategic Sourcing Initiatives before procuring items from any other source</w:t>
            </w:r>
            <w:r w:rsidR="006F7BC4" w:rsidRPr="00E375BF">
              <w:t>.</w:t>
            </w:r>
            <w:r w:rsidRPr="00E375BF">
              <w:t xml:space="preserve">  We require micro-purchasers to document their acquisition files when they do not purchase an item available from FSSIs.  We encourage the use of the </w:t>
            </w:r>
            <w:r w:rsidR="00343B44" w:rsidRPr="00E375BF">
              <w:t>IT</w:t>
            </w:r>
            <w:r w:rsidRPr="00E375BF">
              <w:t xml:space="preserve">, office management, and facilities and construction category management initiatives that include sustainable acquisition criteria.  </w:t>
            </w:r>
            <w:r w:rsidR="00343B44" w:rsidRPr="00E375BF">
              <w:t>Agency staff adheres</w:t>
            </w:r>
            <w:r w:rsidRPr="00E375BF">
              <w:t xml:space="preserve"> to </w:t>
            </w:r>
            <w:r w:rsidR="00343B44" w:rsidRPr="00E375BF">
              <w:t>OMB</w:t>
            </w:r>
            <w:r w:rsidRPr="00E375BF">
              <w:t xml:space="preserve"> and Office of Federal Procurement Policy Category Management Policy Directive, 15-1, by adopting standardized laptop and desktop configurations, mandating purchases from existing vehicles, and adopting smarter business practices.  </w:t>
            </w:r>
          </w:p>
        </w:tc>
        <w:tc>
          <w:tcPr>
            <w:tcW w:w="2700" w:type="dxa"/>
            <w:tcBorders>
              <w:top w:val="single" w:sz="4" w:space="0" w:color="000000"/>
              <w:left w:val="single" w:sz="4" w:space="0" w:color="000000"/>
              <w:bottom w:val="single" w:sz="4" w:space="0" w:color="000000"/>
              <w:right w:val="single" w:sz="4" w:space="0" w:color="000000"/>
            </w:tcBorders>
          </w:tcPr>
          <w:p w14:paraId="3348E8AB" w14:textId="340B0DE3" w:rsidR="00416913" w:rsidRPr="00E375BF" w:rsidRDefault="00416913" w:rsidP="00F50712">
            <w:pPr>
              <w:pStyle w:val="Table"/>
              <w:numPr>
                <w:ilvl w:val="0"/>
                <w:numId w:val="12"/>
              </w:numPr>
              <w:ind w:left="0" w:firstLine="0"/>
            </w:pPr>
            <w:r w:rsidRPr="00E375BF">
              <w:t xml:space="preserve">Update Plan to include sustainable acquisition criteria category management and strategic sourcing policy when our new SSA commissioner is confirmed; </w:t>
            </w:r>
          </w:p>
          <w:p w14:paraId="0F12A664" w14:textId="58829E13" w:rsidR="00416913" w:rsidRPr="00E375BF" w:rsidRDefault="008C3E4B" w:rsidP="008C3E4B">
            <w:pPr>
              <w:pStyle w:val="Table"/>
              <w:numPr>
                <w:ilvl w:val="0"/>
                <w:numId w:val="12"/>
              </w:numPr>
              <w:ind w:left="0" w:firstLine="0"/>
            </w:pPr>
            <w:r w:rsidRPr="00E375BF">
              <w:t>Announce u</w:t>
            </w:r>
            <w:r w:rsidR="00416913" w:rsidRPr="00E375BF">
              <w:t xml:space="preserve">pdates to the Plan, and </w:t>
            </w:r>
            <w:r w:rsidRPr="00E375BF">
              <w:t xml:space="preserve">re-introduce </w:t>
            </w:r>
            <w:r w:rsidR="00416913" w:rsidRPr="00E375BF">
              <w:t xml:space="preserve">the Plan through targeted training upon revision;   </w:t>
            </w:r>
          </w:p>
          <w:p w14:paraId="5985FBA1" w14:textId="77777777" w:rsidR="00416913" w:rsidRPr="00E375BF" w:rsidRDefault="00416913" w:rsidP="00F50712">
            <w:pPr>
              <w:pStyle w:val="Table"/>
              <w:numPr>
                <w:ilvl w:val="0"/>
                <w:numId w:val="12"/>
              </w:numPr>
              <w:ind w:left="0" w:firstLine="0"/>
            </w:pPr>
            <w:r w:rsidRPr="00E375BF">
              <w:t>Continue to issue quarterly reminders; and</w:t>
            </w:r>
          </w:p>
          <w:p w14:paraId="04133D43" w14:textId="569C2C1A" w:rsidR="00416913" w:rsidRPr="00E375BF" w:rsidRDefault="008C3E4B" w:rsidP="00F50712">
            <w:pPr>
              <w:pStyle w:val="Table"/>
              <w:numPr>
                <w:ilvl w:val="0"/>
                <w:numId w:val="12"/>
              </w:numPr>
              <w:ind w:left="0" w:firstLine="0"/>
            </w:pPr>
            <w:r w:rsidRPr="00E375BF">
              <w:t>Provide t</w:t>
            </w:r>
            <w:r w:rsidR="00416913" w:rsidRPr="00E375BF">
              <w:t xml:space="preserve">argeted training. </w:t>
            </w:r>
          </w:p>
          <w:p w14:paraId="514036CE" w14:textId="4912D6C6" w:rsidR="00416913" w:rsidRPr="00E375BF" w:rsidRDefault="00416913" w:rsidP="00F50712">
            <w:pPr>
              <w:pStyle w:val="Table"/>
            </w:pPr>
          </w:p>
        </w:tc>
      </w:tr>
      <w:tr w:rsidR="00416913" w:rsidRPr="00174DC2" w14:paraId="2CBED0EF" w14:textId="77777777" w:rsidTr="00F50712">
        <w:trPr>
          <w:cantSplit/>
        </w:trPr>
        <w:tc>
          <w:tcPr>
            <w:tcW w:w="2515" w:type="dxa"/>
            <w:tcBorders>
              <w:top w:val="single" w:sz="4" w:space="0" w:color="000000"/>
              <w:left w:val="single" w:sz="4" w:space="0" w:color="000000"/>
              <w:bottom w:val="single" w:sz="4" w:space="0" w:color="000000"/>
              <w:right w:val="single" w:sz="4" w:space="0" w:color="000000"/>
            </w:tcBorders>
          </w:tcPr>
          <w:p w14:paraId="0207D92C" w14:textId="3B967F19" w:rsidR="00416913" w:rsidRPr="00174DC2" w:rsidRDefault="00416913" w:rsidP="00416913">
            <w:pPr>
              <w:pStyle w:val="Table"/>
            </w:pPr>
            <w:r>
              <w:t>Identify and implement</w:t>
            </w:r>
            <w:r w:rsidRPr="00174DC2">
              <w:t xml:space="preserve"> corrective actions to address barriers to increasing sustainable </w:t>
            </w:r>
            <w:r>
              <w:t>acquisitions.</w:t>
            </w:r>
          </w:p>
        </w:tc>
        <w:tc>
          <w:tcPr>
            <w:tcW w:w="4770" w:type="dxa"/>
            <w:tcBorders>
              <w:top w:val="single" w:sz="4" w:space="0" w:color="000000"/>
              <w:left w:val="single" w:sz="4" w:space="0" w:color="000000"/>
              <w:bottom w:val="single" w:sz="4" w:space="0" w:color="000000"/>
              <w:right w:val="single" w:sz="4" w:space="0" w:color="000000"/>
            </w:tcBorders>
          </w:tcPr>
          <w:p w14:paraId="191CBAFC" w14:textId="718D1018" w:rsidR="00416913" w:rsidRPr="00E375BF" w:rsidRDefault="00416913" w:rsidP="00F50712">
            <w:pPr>
              <w:pStyle w:val="Table"/>
            </w:pPr>
            <w:r w:rsidRPr="00E375BF">
              <w:t xml:space="preserve">We will continue to address barriers to increasing sustainable acquisition by training agency contracting staff and discussing corrective actions found during quarterly sustainable acquisition reviews and semi-annual acquisition management reviews. </w:t>
            </w:r>
          </w:p>
        </w:tc>
        <w:tc>
          <w:tcPr>
            <w:tcW w:w="2700" w:type="dxa"/>
            <w:tcBorders>
              <w:top w:val="single" w:sz="4" w:space="0" w:color="000000"/>
              <w:left w:val="single" w:sz="4" w:space="0" w:color="000000"/>
              <w:bottom w:val="single" w:sz="4" w:space="0" w:color="000000"/>
              <w:right w:val="single" w:sz="4" w:space="0" w:color="000000"/>
            </w:tcBorders>
          </w:tcPr>
          <w:p w14:paraId="7E3E07D1" w14:textId="1F7EF459" w:rsidR="00416913" w:rsidRPr="00E375BF" w:rsidRDefault="00C21301" w:rsidP="00C21301">
            <w:pPr>
              <w:pStyle w:val="Table"/>
            </w:pPr>
            <w:r w:rsidRPr="00E375BF">
              <w:t>Conduct t</w:t>
            </w:r>
            <w:r w:rsidR="00416913" w:rsidRPr="00E375BF">
              <w:t xml:space="preserve">raining and </w:t>
            </w:r>
            <w:r w:rsidR="00295180" w:rsidRPr="00E375BF">
              <w:t>discuss</w:t>
            </w:r>
            <w:r w:rsidRPr="00E375BF">
              <w:t xml:space="preserve"> </w:t>
            </w:r>
            <w:r w:rsidR="00416913" w:rsidRPr="00E375BF">
              <w:t xml:space="preserve">corrective actions through June 2018 during: (1) quarterly sustainable acquisition reviews; (2) semi-annual acquisition management reviews; (4) quarterly reminders; and (3) targeted sustainable acquisition training. </w:t>
            </w:r>
          </w:p>
        </w:tc>
      </w:tr>
      <w:tr w:rsidR="006F7BC4" w:rsidRPr="00174DC2" w14:paraId="79F631B1" w14:textId="77777777" w:rsidTr="00F50712">
        <w:trPr>
          <w:cantSplit/>
        </w:trPr>
        <w:tc>
          <w:tcPr>
            <w:tcW w:w="2515" w:type="dxa"/>
            <w:tcBorders>
              <w:top w:val="single" w:sz="4" w:space="0" w:color="000000"/>
              <w:left w:val="single" w:sz="4" w:space="0" w:color="000000"/>
              <w:bottom w:val="single" w:sz="4" w:space="0" w:color="000000"/>
              <w:right w:val="single" w:sz="4" w:space="0" w:color="000000"/>
            </w:tcBorders>
          </w:tcPr>
          <w:p w14:paraId="50A0B6CA" w14:textId="570FED8B" w:rsidR="006F7BC4" w:rsidRPr="00174DC2" w:rsidRDefault="006F7BC4" w:rsidP="006F7BC4">
            <w:pPr>
              <w:pStyle w:val="Table"/>
            </w:pPr>
            <w:r w:rsidRPr="00BC33A9">
              <w:t xml:space="preserve">Incorporate compliance with contract sustainability requirements into procedures for monitoring contractor </w:t>
            </w:r>
            <w:r>
              <w:t xml:space="preserve">past </w:t>
            </w:r>
            <w:r w:rsidRPr="00BC33A9">
              <w:t>performance and report on contractor compliance in performance reviews.</w:t>
            </w:r>
          </w:p>
        </w:tc>
        <w:tc>
          <w:tcPr>
            <w:tcW w:w="4770" w:type="dxa"/>
            <w:tcBorders>
              <w:top w:val="single" w:sz="4" w:space="0" w:color="000000"/>
              <w:left w:val="single" w:sz="4" w:space="0" w:color="000000"/>
              <w:bottom w:val="single" w:sz="4" w:space="0" w:color="000000"/>
              <w:right w:val="single" w:sz="4" w:space="0" w:color="000000"/>
            </w:tcBorders>
          </w:tcPr>
          <w:p w14:paraId="2D6F7FA8" w14:textId="77777777" w:rsidR="006F7BC4" w:rsidRPr="00E375BF" w:rsidRDefault="006F7BC4" w:rsidP="00F50712">
            <w:pPr>
              <w:spacing w:after="0"/>
              <w:rPr>
                <w:sz w:val="22"/>
              </w:rPr>
            </w:pPr>
            <w:r w:rsidRPr="00E375BF">
              <w:rPr>
                <w:sz w:val="22"/>
              </w:rPr>
              <w:t xml:space="preserve">We issue regular Contractor </w:t>
            </w:r>
          </w:p>
          <w:p w14:paraId="20733389" w14:textId="29811125" w:rsidR="006F7BC4" w:rsidRPr="00E375BF" w:rsidRDefault="006F7BC4" w:rsidP="00F50712">
            <w:pPr>
              <w:pStyle w:val="Table"/>
            </w:pPr>
            <w:r w:rsidRPr="00E375BF">
              <w:t xml:space="preserve">Performance Assessment Reporting System (CPARS) reminders, including sustainability requirements evaluation, to contracting staff.  FAR Case 2014-010, effective June 8, 2015, employed the evaluation of sustainability compliance in contractor performance reviews.  We follow the FAR guidance and will continue to report sustainability compliance in CPARS.  We further supplement the FAR guidance by instructing contracting staff to include sustainability requirements evaluation in our agency-specific CPARS Policy Guide and acquisition policy Handbook.  </w:t>
            </w:r>
          </w:p>
        </w:tc>
        <w:tc>
          <w:tcPr>
            <w:tcW w:w="2700" w:type="dxa"/>
            <w:tcBorders>
              <w:top w:val="single" w:sz="4" w:space="0" w:color="000000"/>
              <w:left w:val="single" w:sz="4" w:space="0" w:color="000000"/>
              <w:bottom w:val="single" w:sz="4" w:space="0" w:color="000000"/>
              <w:right w:val="single" w:sz="4" w:space="0" w:color="000000"/>
            </w:tcBorders>
          </w:tcPr>
          <w:p w14:paraId="7E8CC889" w14:textId="26BEC323" w:rsidR="006F7BC4" w:rsidRPr="00E375BF" w:rsidRDefault="006F7BC4" w:rsidP="00C21301">
            <w:pPr>
              <w:pStyle w:val="Table"/>
            </w:pPr>
            <w:r w:rsidRPr="00E375BF">
              <w:t xml:space="preserve">Update the Plan to include sustainability compliance as an assessment factor when our new SSA Commissioner is confirmed; and </w:t>
            </w:r>
            <w:r w:rsidR="00C21301" w:rsidRPr="00E375BF">
              <w:t>announce u</w:t>
            </w:r>
            <w:r w:rsidRPr="00E375BF">
              <w:t xml:space="preserve">pdates to the Plan, and </w:t>
            </w:r>
            <w:r w:rsidR="00C21301" w:rsidRPr="00E375BF">
              <w:t xml:space="preserve">re-introduce </w:t>
            </w:r>
            <w:r w:rsidRPr="00E375BF">
              <w:t xml:space="preserve">the Plan through targeted training upon revision.    </w:t>
            </w:r>
          </w:p>
        </w:tc>
      </w:tr>
    </w:tbl>
    <w:p w14:paraId="369C0FDC" w14:textId="59590DB5" w:rsidR="00916820" w:rsidRDefault="00916820">
      <w:pPr>
        <w:widowControl w:val="0"/>
        <w:spacing w:after="200" w:line="276" w:lineRule="auto"/>
        <w:rPr>
          <w:b/>
          <w:sz w:val="28"/>
          <w:szCs w:val="36"/>
        </w:rPr>
      </w:pPr>
    </w:p>
    <w:p w14:paraId="6C007FB6" w14:textId="77777777" w:rsidR="00C21301" w:rsidRDefault="00C21301">
      <w:pPr>
        <w:widowControl w:val="0"/>
        <w:spacing w:after="200" w:line="276" w:lineRule="auto"/>
        <w:rPr>
          <w:b/>
          <w:sz w:val="28"/>
          <w:szCs w:val="36"/>
        </w:rPr>
      </w:pPr>
      <w:r>
        <w:br w:type="page"/>
      </w:r>
    </w:p>
    <w:p w14:paraId="43D224FF" w14:textId="1BB0E2FB" w:rsidR="00953B4C" w:rsidRPr="00953B4C" w:rsidRDefault="003B6A7F" w:rsidP="00BD722F">
      <w:pPr>
        <w:pStyle w:val="Heading2"/>
      </w:pPr>
      <w:bookmarkStart w:id="68" w:name="_Toc486579602"/>
      <w:r w:rsidRPr="003B6A7F">
        <w:t>Goal 7: Pollution Prevention &amp; Waste Reduction</w:t>
      </w:r>
      <w:bookmarkEnd w:id="67"/>
      <w:bookmarkEnd w:id="68"/>
    </w:p>
    <w:p w14:paraId="2DB93A5B" w14:textId="4991979D" w:rsidR="004066DC" w:rsidRDefault="004066DC" w:rsidP="004066DC">
      <w:pPr>
        <w:pStyle w:val="Heading3"/>
      </w:pPr>
      <w:bookmarkStart w:id="69" w:name="_Toc444272911"/>
      <w:r w:rsidRPr="003B6A7F">
        <w:t>Pollution Prevention &amp; Waste Reduction</w:t>
      </w:r>
      <w:r>
        <w:t xml:space="preserve"> Goal</w:t>
      </w:r>
      <w:bookmarkEnd w:id="69"/>
    </w:p>
    <w:p w14:paraId="60DBCB3D" w14:textId="1B424A22" w:rsidR="003B6A7F" w:rsidRDefault="003B6A7F" w:rsidP="003B6A7F">
      <w:r>
        <w:t xml:space="preserve">E.O. 13693 section 3(j) requires that Federal agencies advance waste prevention and pollution prevention and to annually divert at least 50% of non-hazardous construction and demolition debris. Section 3(j)(ii) further requires agencies to divert at least 50% of non-hazardous solid waste, including food and compostable material, and to pursue opportunities for net-zero waste or additional diversion. </w:t>
      </w:r>
    </w:p>
    <w:p w14:paraId="022F0EA2" w14:textId="65F5C1B7" w:rsidR="00F65266" w:rsidRPr="002E3028" w:rsidRDefault="00F65266" w:rsidP="00F65266">
      <w:pPr>
        <w:pStyle w:val="Heading3"/>
      </w:pPr>
      <w:r>
        <w:t>Chart: Waste Diversion</w:t>
      </w:r>
    </w:p>
    <w:p w14:paraId="6251199E" w14:textId="1B98E3EB" w:rsidR="00F65266" w:rsidRDefault="00343B44" w:rsidP="00F65266">
      <w:pPr>
        <w:jc w:val="center"/>
      </w:pPr>
      <w:r>
        <w:rPr>
          <w:noProof/>
        </w:rPr>
        <w:drawing>
          <wp:inline distT="0" distB="0" distL="0" distR="0" wp14:anchorId="536C5E8D" wp14:editId="7F741931">
            <wp:extent cx="5943600" cy="47351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735195"/>
                    </a:xfrm>
                    <a:prstGeom prst="rect">
                      <a:avLst/>
                    </a:prstGeom>
                  </pic:spPr>
                </pic:pic>
              </a:graphicData>
            </a:graphic>
          </wp:inline>
        </w:drawing>
      </w:r>
    </w:p>
    <w:p w14:paraId="2E15D870" w14:textId="0B19B7D7" w:rsidR="00F65266" w:rsidRPr="00F50712" w:rsidRDefault="00CD2041" w:rsidP="003B6A7F">
      <w:pPr>
        <w:rPr>
          <w:b/>
          <w:color w:val="FF0000"/>
        </w:rPr>
      </w:pPr>
      <w:r w:rsidRPr="00F50712">
        <w:rPr>
          <w:color w:val="FF0000"/>
        </w:rPr>
        <w:t xml:space="preserve">SSA is proud to have diverted </w:t>
      </w:r>
      <w:r w:rsidR="008B541B" w:rsidRPr="00F50712">
        <w:rPr>
          <w:color w:val="FF0000"/>
        </w:rPr>
        <w:t>56.8</w:t>
      </w:r>
      <w:r w:rsidR="00C21301">
        <w:rPr>
          <w:color w:val="FF0000"/>
        </w:rPr>
        <w:t xml:space="preserve"> percent</w:t>
      </w:r>
      <w:r w:rsidR="00C21301" w:rsidRPr="00F50712">
        <w:rPr>
          <w:color w:val="FF0000"/>
        </w:rPr>
        <w:t xml:space="preserve"> </w:t>
      </w:r>
      <w:r w:rsidRPr="00F50712">
        <w:rPr>
          <w:color w:val="FF0000"/>
        </w:rPr>
        <w:t>of its total annual waste from landfills in FY 2016, exceeding the goal of 50 percent.</w:t>
      </w:r>
    </w:p>
    <w:p w14:paraId="31001E98" w14:textId="1E733EEF" w:rsidR="00733DF2" w:rsidRPr="00307697" w:rsidRDefault="00733DF2" w:rsidP="00733DF2">
      <w:pPr>
        <w:pStyle w:val="Heading3"/>
        <w:rPr>
          <w:b w:val="0"/>
          <w:i/>
        </w:rPr>
      </w:pPr>
      <w:bookmarkStart w:id="70" w:name="_Toc444272912"/>
      <w:bookmarkStart w:id="71" w:name="_Toc441069303"/>
      <w:bookmarkStart w:id="72" w:name="_Toc441046848"/>
      <w:r>
        <w:t>Pollution Prevention &amp; Waste Reduction Strategies</w:t>
      </w:r>
      <w:bookmarkEnd w:id="70"/>
      <w:r w:rsidR="003B6468">
        <w:t xml:space="preserve"> for Fiscal Year 2018</w:t>
      </w:r>
      <w:r w:rsidR="00B32BCC">
        <w:t xml:space="preserve"> </w:t>
      </w:r>
    </w:p>
    <w:tbl>
      <w:tblPr>
        <w:tblW w:w="4868" w:type="pct"/>
        <w:tblLayout w:type="fixed"/>
        <w:tblCellMar>
          <w:left w:w="0" w:type="dxa"/>
          <w:right w:w="0" w:type="dxa"/>
        </w:tblCellMar>
        <w:tblLook w:val="01E0" w:firstRow="1" w:lastRow="1" w:firstColumn="1" w:lastColumn="1" w:noHBand="0" w:noVBand="0"/>
      </w:tblPr>
      <w:tblGrid>
        <w:gridCol w:w="3505"/>
        <w:gridCol w:w="3690"/>
        <w:gridCol w:w="2609"/>
      </w:tblGrid>
      <w:tr w:rsidR="00307697" w:rsidRPr="00EB49B5" w14:paraId="600E6A8C" w14:textId="77777777" w:rsidTr="00F752D6">
        <w:trPr>
          <w:cantSplit/>
          <w:tblHeader/>
        </w:trPr>
        <w:tc>
          <w:tcPr>
            <w:tcW w:w="35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1B6069" w14:textId="77777777" w:rsidR="00307697" w:rsidRPr="00EB49B5" w:rsidRDefault="00307697" w:rsidP="002E256D">
            <w:pPr>
              <w:pStyle w:val="Table"/>
              <w:jc w:val="center"/>
              <w:rPr>
                <w:b/>
              </w:rPr>
            </w:pPr>
            <w:r w:rsidRPr="00EB49B5">
              <w:rPr>
                <w:b/>
              </w:rPr>
              <w:t>Strategy</w:t>
            </w:r>
          </w:p>
        </w:tc>
        <w:tc>
          <w:tcPr>
            <w:tcW w:w="36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E51EAE" w14:textId="77777777" w:rsidR="00307697" w:rsidRPr="00EB49B5" w:rsidRDefault="00307697" w:rsidP="002E256D">
            <w:pPr>
              <w:pStyle w:val="Table"/>
              <w:jc w:val="center"/>
              <w:rPr>
                <w:b/>
              </w:rPr>
            </w:pPr>
            <w:r>
              <w:rPr>
                <w:b/>
              </w:rPr>
              <w:t>Strategy Narrative</w:t>
            </w:r>
          </w:p>
        </w:tc>
        <w:tc>
          <w:tcPr>
            <w:tcW w:w="26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D6F8A9" w14:textId="77777777" w:rsidR="00307697" w:rsidRPr="00EB49B5" w:rsidRDefault="00307697" w:rsidP="002E256D">
            <w:pPr>
              <w:pStyle w:val="Table"/>
              <w:jc w:val="center"/>
              <w:rPr>
                <w:b/>
              </w:rPr>
            </w:pPr>
            <w:r>
              <w:rPr>
                <w:b/>
              </w:rPr>
              <w:t>Targets and Metrics</w:t>
            </w:r>
          </w:p>
        </w:tc>
      </w:tr>
      <w:tr w:rsidR="00DA0BD5" w:rsidRPr="00174DC2" w14:paraId="08544C3E"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25BF08BE" w14:textId="2D99162C" w:rsidR="00DA0BD5" w:rsidRPr="00174DC2" w:rsidRDefault="00DA0BD5" w:rsidP="00DA0BD5">
            <w:pPr>
              <w:pStyle w:val="Table"/>
            </w:pPr>
            <w:r w:rsidRPr="00174DC2">
              <w:t>Report in accordance with the requirements of sections 301 through 313 of the Emergency Planning and Community Right-to-Know Act of 1986 (42 U.S.C 11001-11023)</w:t>
            </w:r>
            <w:r>
              <w:t>.</w:t>
            </w:r>
          </w:p>
        </w:tc>
        <w:tc>
          <w:tcPr>
            <w:tcW w:w="3690" w:type="dxa"/>
            <w:tcBorders>
              <w:top w:val="single" w:sz="4" w:space="0" w:color="000000"/>
              <w:left w:val="single" w:sz="4" w:space="0" w:color="000000"/>
              <w:bottom w:val="single" w:sz="4" w:space="0" w:color="000000"/>
              <w:right w:val="single" w:sz="4" w:space="0" w:color="000000"/>
            </w:tcBorders>
          </w:tcPr>
          <w:p w14:paraId="3A11FDB5" w14:textId="5DCEDF7E" w:rsidR="00DA0BD5" w:rsidRPr="00E375BF" w:rsidRDefault="00DA0BD5" w:rsidP="00DA0BD5">
            <w:pPr>
              <w:pStyle w:val="Table"/>
            </w:pPr>
            <w:r w:rsidRPr="00E375BF">
              <w:t xml:space="preserve"> In 2017, we were in full compliance with all </w:t>
            </w:r>
            <w:r w:rsidR="00C21301" w:rsidRPr="00E375BF">
              <w:t>Emergency Planning and Community Right-to-Know Act</w:t>
            </w:r>
            <w:r w:rsidR="00C21301" w:rsidRPr="00E375BF" w:rsidDel="00C21301">
              <w:t xml:space="preserve"> </w:t>
            </w:r>
            <w:r w:rsidRPr="00E375BF">
              <w:t>reporting requirements, and will continue to report as required.</w:t>
            </w:r>
          </w:p>
        </w:tc>
        <w:tc>
          <w:tcPr>
            <w:tcW w:w="2609" w:type="dxa"/>
            <w:tcBorders>
              <w:top w:val="single" w:sz="4" w:space="0" w:color="000000"/>
              <w:left w:val="single" w:sz="4" w:space="0" w:color="000000"/>
              <w:bottom w:val="single" w:sz="4" w:space="0" w:color="000000"/>
              <w:right w:val="single" w:sz="4" w:space="0" w:color="000000"/>
            </w:tcBorders>
          </w:tcPr>
          <w:p w14:paraId="5F3ED3E8" w14:textId="0EC15425" w:rsidR="00DA0BD5" w:rsidRPr="00E375BF" w:rsidRDefault="00DA0BD5" w:rsidP="00DA0BD5">
            <w:pPr>
              <w:pStyle w:val="Table"/>
            </w:pPr>
            <w:r w:rsidRPr="00E375BF">
              <w:t>Report as required for 2018.</w:t>
            </w:r>
          </w:p>
        </w:tc>
      </w:tr>
      <w:tr w:rsidR="00DA0BD5" w:rsidRPr="00174DC2" w14:paraId="2E278AF8"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24FD9BA6" w14:textId="28CE3B12" w:rsidR="00DA0BD5" w:rsidRPr="00174DC2" w:rsidRDefault="00DA0BD5" w:rsidP="00DA0BD5">
            <w:pPr>
              <w:pStyle w:val="Table"/>
            </w:pPr>
            <w:r w:rsidRPr="00174DC2">
              <w:t>Reduce or minimize the quantity of toxic and hazardous chemicals acquired, used, or disposed of, particularly where such reduction will assist the agency in pursuing agency g</w:t>
            </w:r>
            <w:r>
              <w:t>reenhouse gas reduction targets.</w:t>
            </w:r>
          </w:p>
        </w:tc>
        <w:tc>
          <w:tcPr>
            <w:tcW w:w="3690" w:type="dxa"/>
            <w:tcBorders>
              <w:top w:val="single" w:sz="4" w:space="0" w:color="000000"/>
              <w:left w:val="single" w:sz="4" w:space="0" w:color="000000"/>
              <w:bottom w:val="single" w:sz="4" w:space="0" w:color="000000"/>
              <w:right w:val="single" w:sz="4" w:space="0" w:color="000000"/>
            </w:tcBorders>
          </w:tcPr>
          <w:p w14:paraId="7BB19077" w14:textId="42296482" w:rsidR="00DA0BD5" w:rsidRPr="00E375BF" w:rsidRDefault="00DA0BD5" w:rsidP="00DA0BD5">
            <w:pPr>
              <w:pStyle w:val="Table"/>
            </w:pPr>
            <w:r w:rsidRPr="00E375BF">
              <w:t>We developed a waste minimization and chemical storage plan to reduce the quantity of chemicals used at the HQ campus. We developed a waste minimization workgroup to improve chemical purchasing, storage</w:t>
            </w:r>
            <w:r w:rsidR="00C21301" w:rsidRPr="00E375BF">
              <w:t>,</w:t>
            </w:r>
            <w:r w:rsidRPr="00E375BF">
              <w:t xml:space="preserve"> and minimization strategies.</w:t>
            </w:r>
          </w:p>
        </w:tc>
        <w:tc>
          <w:tcPr>
            <w:tcW w:w="2609" w:type="dxa"/>
            <w:tcBorders>
              <w:top w:val="single" w:sz="4" w:space="0" w:color="000000"/>
              <w:left w:val="single" w:sz="4" w:space="0" w:color="000000"/>
              <w:bottom w:val="single" w:sz="4" w:space="0" w:color="000000"/>
              <w:right w:val="single" w:sz="4" w:space="0" w:color="000000"/>
            </w:tcBorders>
          </w:tcPr>
          <w:p w14:paraId="6600220F" w14:textId="0128BE83" w:rsidR="00DA0BD5" w:rsidRPr="00E375BF" w:rsidRDefault="00C21301" w:rsidP="00C21301">
            <w:pPr>
              <w:pStyle w:val="Table"/>
            </w:pPr>
            <w:r w:rsidRPr="00E375BF">
              <w:t>C</w:t>
            </w:r>
            <w:r w:rsidR="00DA0BD5" w:rsidRPr="00E375BF">
              <w:t>onduct baseline surveys and chemical inventories to dispose of unneeded products to help with storage and minimization strategies</w:t>
            </w:r>
            <w:r w:rsidRPr="00E375BF">
              <w:t xml:space="preserve"> in FY 2018</w:t>
            </w:r>
            <w:r w:rsidR="00DA0BD5" w:rsidRPr="00E375BF">
              <w:t>.</w:t>
            </w:r>
          </w:p>
        </w:tc>
      </w:tr>
      <w:tr w:rsidR="00DA0BD5" w:rsidRPr="00174DC2" w14:paraId="7119B6DE"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5B865E13" w14:textId="10F4FCE5" w:rsidR="00DA0BD5" w:rsidRPr="00174DC2" w:rsidRDefault="00DA0BD5" w:rsidP="00DA0BD5">
            <w:pPr>
              <w:pStyle w:val="Table"/>
            </w:pPr>
            <w:r w:rsidRPr="00174DC2">
              <w:t>Eliminate, reduce, or recover refrigerants and other fugitive emissions.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A958FFF" w14:textId="434DC787" w:rsidR="00DA0BD5" w:rsidRPr="00E375BF" w:rsidRDefault="00DA0BD5" w:rsidP="00DA0BD5">
            <w:pPr>
              <w:pStyle w:val="Table"/>
            </w:pPr>
            <w:r w:rsidRPr="00E375BF">
              <w:t>We use refrigerant recovery systems at all of our delegated facilities.  We will continue to track fugitive emissions and make changes and repairs as necessary.</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6C22531" w14:textId="4E453775" w:rsidR="00DA0BD5" w:rsidRPr="00E375BF" w:rsidRDefault="00C21301" w:rsidP="00C21301">
            <w:pPr>
              <w:pStyle w:val="Table"/>
            </w:pPr>
            <w:r w:rsidRPr="00E375BF">
              <w:t>Report e</w:t>
            </w:r>
            <w:r w:rsidR="00DA0BD5" w:rsidRPr="00E375BF">
              <w:t>missions of HFCs in the FY 2017 and FY 2018 SSA GHG inventory.</w:t>
            </w:r>
          </w:p>
        </w:tc>
      </w:tr>
      <w:tr w:rsidR="00DA0BD5" w:rsidRPr="00174DC2" w14:paraId="744CFFDE"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02895C56" w14:textId="0E800480" w:rsidR="00DA0BD5" w:rsidRPr="00174DC2" w:rsidRDefault="00DA0BD5" w:rsidP="00DA0BD5">
            <w:pPr>
              <w:pStyle w:val="Table"/>
            </w:pPr>
            <w:r w:rsidRPr="00174DC2">
              <w:t>Reduce waste generation through elimination, source reduction, and recycling.</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A661F8D" w14:textId="1BFEF496" w:rsidR="00DA0BD5" w:rsidRPr="00E375BF" w:rsidRDefault="00DA0BD5" w:rsidP="00DA0BD5">
            <w:pPr>
              <w:pStyle w:val="Table"/>
            </w:pPr>
            <w:r w:rsidRPr="00E375BF">
              <w:rPr>
                <w:rFonts w:cs="Times New Roman"/>
              </w:rPr>
              <w:t>We will continue to research additional ways to increase our recycling.</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AD54F38" w14:textId="3336E5DB" w:rsidR="00DA0BD5" w:rsidRPr="00E375BF" w:rsidRDefault="00C21301" w:rsidP="00C21301">
            <w:pPr>
              <w:pStyle w:val="Table"/>
            </w:pPr>
            <w:r w:rsidRPr="00E375BF">
              <w:rPr>
                <w:rFonts w:cs="Times New Roman"/>
              </w:rPr>
              <w:t>Divert a</w:t>
            </w:r>
            <w:r w:rsidR="00DA0BD5" w:rsidRPr="00E375BF">
              <w:rPr>
                <w:rFonts w:cs="Times New Roman"/>
              </w:rPr>
              <w:t xml:space="preserve"> minimum of 50 percent of non-hazardous solid waste in FY 2017</w:t>
            </w:r>
            <w:r w:rsidR="00DA0BD5" w:rsidRPr="00E375BF">
              <w:t xml:space="preserve"> and FY 2018</w:t>
            </w:r>
            <w:r w:rsidR="00DA0BD5" w:rsidRPr="00E375BF">
              <w:rPr>
                <w:rFonts w:cs="Times New Roman"/>
              </w:rPr>
              <w:t>.</w:t>
            </w:r>
          </w:p>
        </w:tc>
      </w:tr>
      <w:tr w:rsidR="00DA0BD5" w:rsidRPr="00174DC2" w14:paraId="5B8B9B95"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4900D066" w14:textId="58F8E9EE" w:rsidR="00DA0BD5" w:rsidRPr="00174DC2" w:rsidRDefault="00DA0BD5" w:rsidP="00DA0BD5">
            <w:pPr>
              <w:pStyle w:val="Table"/>
            </w:pPr>
            <w:r w:rsidRPr="00174DC2">
              <w:t>Implement integrated pest management and improved landscape management practices to reduce and eliminate the use o</w:t>
            </w:r>
            <w:r>
              <w:t xml:space="preserve">f toxic and hazardous chemicals and </w:t>
            </w:r>
            <w:r w:rsidRPr="00174DC2">
              <w:t>materials.</w:t>
            </w:r>
          </w:p>
        </w:tc>
        <w:tc>
          <w:tcPr>
            <w:tcW w:w="3690" w:type="dxa"/>
            <w:tcBorders>
              <w:top w:val="single" w:sz="4" w:space="0" w:color="000000"/>
              <w:left w:val="single" w:sz="4" w:space="0" w:color="000000"/>
              <w:bottom w:val="single" w:sz="4" w:space="0" w:color="000000"/>
              <w:right w:val="single" w:sz="4" w:space="0" w:color="000000"/>
            </w:tcBorders>
          </w:tcPr>
          <w:p w14:paraId="3C4AD101" w14:textId="45DFC40F" w:rsidR="00DA0BD5" w:rsidRPr="00E375BF" w:rsidRDefault="00DA0BD5" w:rsidP="00DA0BD5">
            <w:pPr>
              <w:pStyle w:val="Table"/>
            </w:pPr>
            <w:r w:rsidRPr="00E375BF">
              <w:t>We continue to require pest control contractors to implement Integrated Pest Management practices and will continue to review all relevant agency contracts to ensure they include language requiring the proper implementation of pest management.</w:t>
            </w:r>
          </w:p>
        </w:tc>
        <w:tc>
          <w:tcPr>
            <w:tcW w:w="2609" w:type="dxa"/>
            <w:tcBorders>
              <w:top w:val="single" w:sz="4" w:space="0" w:color="000000"/>
              <w:left w:val="single" w:sz="4" w:space="0" w:color="000000"/>
              <w:bottom w:val="single" w:sz="4" w:space="0" w:color="000000"/>
              <w:right w:val="single" w:sz="4" w:space="0" w:color="000000"/>
            </w:tcBorders>
          </w:tcPr>
          <w:p w14:paraId="1D40D72D" w14:textId="7B6E9250" w:rsidR="00DA0BD5" w:rsidRPr="00E375BF" w:rsidRDefault="00C21301" w:rsidP="00C21301">
            <w:pPr>
              <w:pStyle w:val="Table"/>
            </w:pPr>
            <w:r w:rsidRPr="00E375BF">
              <w:t>C</w:t>
            </w:r>
            <w:r w:rsidR="00DA0BD5" w:rsidRPr="00E375BF">
              <w:t>ontinue the efforts of the Integrated Pest Management practices</w:t>
            </w:r>
            <w:r w:rsidRPr="00E375BF">
              <w:t xml:space="preserve"> in FY 2018</w:t>
            </w:r>
            <w:r w:rsidR="00DA0BD5" w:rsidRPr="00E375BF">
              <w:t>.</w:t>
            </w:r>
          </w:p>
        </w:tc>
      </w:tr>
      <w:tr w:rsidR="00DA0BD5" w:rsidRPr="00174DC2" w14:paraId="7C57D496"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03761748" w14:textId="58B84866" w:rsidR="00DA0BD5" w:rsidRPr="00174DC2" w:rsidRDefault="00DA0BD5" w:rsidP="00DA0BD5">
            <w:pPr>
              <w:pStyle w:val="Table"/>
            </w:pPr>
            <w:r>
              <w:t xml:space="preserve">Develop or </w:t>
            </w:r>
            <w:r w:rsidRPr="00174DC2">
              <w:t>revise Agency</w:t>
            </w:r>
            <w:r>
              <w:t xml:space="preserve"> </w:t>
            </w:r>
            <w:r w:rsidRPr="00174DC2">
              <w:t>Chemicals Inventory Plans and ident</w:t>
            </w:r>
            <w:r>
              <w:t xml:space="preserve">ify </w:t>
            </w:r>
            <w:r w:rsidRPr="00174DC2">
              <w:t>and deploy</w:t>
            </w:r>
            <w:r>
              <w:t xml:space="preserve"> </w:t>
            </w:r>
            <w:r w:rsidRPr="00174DC2">
              <w:t>chemical elimination, substitution, and/or management opportunities.</w:t>
            </w:r>
          </w:p>
        </w:tc>
        <w:tc>
          <w:tcPr>
            <w:tcW w:w="3690" w:type="dxa"/>
            <w:tcBorders>
              <w:top w:val="single" w:sz="4" w:space="0" w:color="000000"/>
              <w:left w:val="single" w:sz="4" w:space="0" w:color="000000"/>
              <w:bottom w:val="single" w:sz="4" w:space="0" w:color="000000"/>
              <w:right w:val="single" w:sz="4" w:space="0" w:color="000000"/>
            </w:tcBorders>
          </w:tcPr>
          <w:p w14:paraId="0178334D" w14:textId="319EB016" w:rsidR="00DA0BD5" w:rsidRPr="00E375BF" w:rsidRDefault="00DA0BD5" w:rsidP="00DA0BD5">
            <w:pPr>
              <w:pStyle w:val="Table"/>
            </w:pPr>
            <w:r w:rsidRPr="00E375BF">
              <w:t>We have developed a waste minimization and chemical storage plan to reduce the quantity of chemicals used at the HQ campus. We have also formed a chemical safety committee to identify redundant chemicals, reduce hazardous chemicals, and improve purchasing practices.</w:t>
            </w:r>
          </w:p>
        </w:tc>
        <w:tc>
          <w:tcPr>
            <w:tcW w:w="2609" w:type="dxa"/>
            <w:tcBorders>
              <w:top w:val="single" w:sz="4" w:space="0" w:color="000000"/>
              <w:left w:val="single" w:sz="4" w:space="0" w:color="000000"/>
              <w:bottom w:val="single" w:sz="4" w:space="0" w:color="000000"/>
              <w:right w:val="single" w:sz="4" w:space="0" w:color="000000"/>
            </w:tcBorders>
          </w:tcPr>
          <w:p w14:paraId="7B54B95B" w14:textId="2353C227" w:rsidR="00DA0BD5" w:rsidRPr="00E375BF" w:rsidRDefault="00DA0BD5" w:rsidP="00DA0BD5">
            <w:pPr>
              <w:pStyle w:val="Table"/>
            </w:pPr>
            <w:r w:rsidRPr="00E375BF">
              <w:t>Continue the chemical safety committee through FY 2018.</w:t>
            </w:r>
          </w:p>
        </w:tc>
      </w:tr>
      <w:tr w:rsidR="00DA0BD5" w:rsidRPr="00174DC2" w14:paraId="22856FB9" w14:textId="77777777" w:rsidTr="00F752D6">
        <w:trPr>
          <w:cantSplit/>
        </w:trPr>
        <w:tc>
          <w:tcPr>
            <w:tcW w:w="3505" w:type="dxa"/>
            <w:tcBorders>
              <w:top w:val="single" w:sz="4" w:space="0" w:color="000000"/>
              <w:left w:val="single" w:sz="4" w:space="0" w:color="000000"/>
              <w:bottom w:val="single" w:sz="4" w:space="0" w:color="000000"/>
              <w:right w:val="single" w:sz="4" w:space="0" w:color="000000"/>
            </w:tcBorders>
          </w:tcPr>
          <w:p w14:paraId="508385E3" w14:textId="496F4881" w:rsidR="00DA0BD5" w:rsidRPr="008E7877" w:rsidRDefault="00DA0BD5" w:rsidP="00DA0BD5">
            <w:pPr>
              <w:pStyle w:val="Table"/>
              <w:rPr>
                <w:highlight w:val="yellow"/>
              </w:rPr>
            </w:pPr>
            <w:r w:rsidRPr="004A4CA2">
              <w:t>Inventory current HFC use and purchases</w:t>
            </w:r>
            <w:r w:rsidR="00382CD4" w:rsidRPr="004A4CA2">
              <w:t>, and ensure HFC management training and recycling equipment are available.</w:t>
            </w:r>
          </w:p>
        </w:tc>
        <w:tc>
          <w:tcPr>
            <w:tcW w:w="3690" w:type="dxa"/>
            <w:tcBorders>
              <w:top w:val="single" w:sz="4" w:space="0" w:color="000000"/>
              <w:left w:val="single" w:sz="4" w:space="0" w:color="000000"/>
              <w:bottom w:val="single" w:sz="4" w:space="0" w:color="000000"/>
              <w:right w:val="single" w:sz="4" w:space="0" w:color="000000"/>
            </w:tcBorders>
          </w:tcPr>
          <w:p w14:paraId="7CD50601" w14:textId="227152F3" w:rsidR="00DA0BD5" w:rsidRPr="00E375BF" w:rsidRDefault="00DA0BD5" w:rsidP="00C21301">
            <w:pPr>
              <w:pStyle w:val="Table"/>
            </w:pPr>
            <w:r w:rsidRPr="00E375BF">
              <w:t>We will continue to inventory HFC use and purchases, and all new contracts that involve HFCs will include a requirement for the contractor to provide quantities of HFCs used.</w:t>
            </w:r>
            <w:r w:rsidR="00382CD4" w:rsidRPr="00E375BF">
              <w:t xml:space="preserve"> </w:t>
            </w:r>
            <w:r w:rsidR="00C21301" w:rsidRPr="00E375BF">
              <w:t xml:space="preserve"> We mandate t</w:t>
            </w:r>
            <w:r w:rsidR="00382CD4" w:rsidRPr="00E375BF">
              <w:t>raining on the use of recycling equipment for all HVAC and contract personnel, both in house and contractors. We will ensure that such training is part of any new contracts that involve HFCs.</w:t>
            </w:r>
          </w:p>
        </w:tc>
        <w:tc>
          <w:tcPr>
            <w:tcW w:w="2609" w:type="dxa"/>
            <w:tcBorders>
              <w:top w:val="single" w:sz="4" w:space="0" w:color="000000"/>
              <w:left w:val="single" w:sz="4" w:space="0" w:color="000000"/>
              <w:bottom w:val="single" w:sz="4" w:space="0" w:color="000000"/>
              <w:right w:val="single" w:sz="4" w:space="0" w:color="000000"/>
            </w:tcBorders>
          </w:tcPr>
          <w:p w14:paraId="13544270" w14:textId="660E53BA" w:rsidR="00DA0BD5" w:rsidRPr="00E375BF" w:rsidRDefault="00C21301" w:rsidP="00C21301">
            <w:pPr>
              <w:pStyle w:val="Table"/>
            </w:pPr>
            <w:r w:rsidRPr="00E375BF">
              <w:t xml:space="preserve">Continue to annually inventory </w:t>
            </w:r>
            <w:r w:rsidR="00DA0BD5" w:rsidRPr="00E375BF">
              <w:t>HFC use and purchases.</w:t>
            </w:r>
            <w:r w:rsidR="00382CD4" w:rsidRPr="00E375BF">
              <w:t xml:space="preserve"> </w:t>
            </w:r>
            <w:r w:rsidRPr="00E375BF">
              <w:t>Provide training to a</w:t>
            </w:r>
            <w:r w:rsidR="00382CD4" w:rsidRPr="00E375BF">
              <w:t>ll new HVAC employees on the use of recycling equipment.</w:t>
            </w:r>
          </w:p>
        </w:tc>
      </w:tr>
    </w:tbl>
    <w:p w14:paraId="08E48AF2" w14:textId="77777777" w:rsidR="00733DF2" w:rsidRPr="00733DF2" w:rsidRDefault="00733DF2" w:rsidP="00733DF2"/>
    <w:p w14:paraId="6CA28748" w14:textId="77777777" w:rsidR="00733DF2" w:rsidRDefault="00733DF2" w:rsidP="003B6A7F">
      <w:pPr>
        <w:pStyle w:val="Heading2"/>
      </w:pPr>
    </w:p>
    <w:p w14:paraId="5954C4BD" w14:textId="77777777" w:rsidR="00E52A85" w:rsidRDefault="00E52A85">
      <w:pPr>
        <w:widowControl w:val="0"/>
        <w:spacing w:after="200" w:line="276" w:lineRule="auto"/>
        <w:rPr>
          <w:b/>
          <w:sz w:val="28"/>
          <w:szCs w:val="36"/>
        </w:rPr>
      </w:pPr>
      <w:r>
        <w:br w:type="page"/>
      </w:r>
    </w:p>
    <w:p w14:paraId="73B3834A" w14:textId="2C844BFA" w:rsidR="00953B4C" w:rsidRPr="00953B4C" w:rsidRDefault="003B6A7F" w:rsidP="00BD722F">
      <w:pPr>
        <w:pStyle w:val="Heading2"/>
      </w:pPr>
      <w:bookmarkStart w:id="73" w:name="_Toc486579603"/>
      <w:r w:rsidRPr="003B6A7F">
        <w:t>Goal 8: Energy Performance Contracts</w:t>
      </w:r>
      <w:bookmarkEnd w:id="71"/>
      <w:bookmarkEnd w:id="73"/>
    </w:p>
    <w:p w14:paraId="0CEAF2B3" w14:textId="2C6D85A2" w:rsidR="004066DC" w:rsidRPr="00EF0BA3" w:rsidRDefault="004066DC" w:rsidP="0041763D">
      <w:pPr>
        <w:pStyle w:val="Heading3"/>
      </w:pPr>
      <w:bookmarkStart w:id="74" w:name="_Toc444272914"/>
      <w:r w:rsidRPr="00EF0BA3">
        <w:t>Performance Contracting Goal</w:t>
      </w:r>
      <w:bookmarkEnd w:id="74"/>
    </w:p>
    <w:p w14:paraId="75C1B4F7" w14:textId="437C2F30" w:rsidR="003B6A7F" w:rsidRDefault="00E85CF1" w:rsidP="00C36C43">
      <w:r w:rsidRPr="00E85CF1">
        <w:t>E.O. 13693 section 3(k) requires that agencies implement performance contracts for Federal buildings.  E.O. 13693 section 3(k)(iii) also requires that agencies provide annual agency targets for performance contracting</w:t>
      </w:r>
      <w:r>
        <w:t xml:space="preserve">. </w:t>
      </w:r>
      <w:r w:rsidR="000A2448" w:rsidRPr="000A2448">
        <w:t>SSA</w:t>
      </w:r>
      <w:r w:rsidRPr="000A2448">
        <w:t xml:space="preserve">’s </w:t>
      </w:r>
      <w:r>
        <w:t>targets for the next two fiscal years are:</w:t>
      </w:r>
    </w:p>
    <w:p w14:paraId="4A290BE9" w14:textId="4101E8E5" w:rsidR="00E85CF1" w:rsidRDefault="00E85CF1" w:rsidP="00E85CF1">
      <w:pPr>
        <w:spacing w:after="0"/>
        <w:ind w:left="1080"/>
      </w:pPr>
      <w:r>
        <w:t xml:space="preserve">FY </w:t>
      </w:r>
      <w:r w:rsidR="007E4A68">
        <w:t>2018</w:t>
      </w:r>
      <w:r>
        <w:t>:</w:t>
      </w:r>
      <w:r>
        <w:tab/>
      </w:r>
      <w:r w:rsidRPr="000A2448">
        <w:t xml:space="preserve">$ </w:t>
      </w:r>
      <w:r w:rsidR="000A2448" w:rsidRPr="00F50712">
        <w:rPr>
          <w:color w:val="FF0000"/>
        </w:rPr>
        <w:t>11,000,000</w:t>
      </w:r>
      <w:r w:rsidRPr="00F50712">
        <w:rPr>
          <w:color w:val="FF0000"/>
        </w:rPr>
        <w:t xml:space="preserve"> </w:t>
      </w:r>
    </w:p>
    <w:p w14:paraId="57F03391" w14:textId="70FA0C9C" w:rsidR="00E85CF1" w:rsidRDefault="00E85CF1" w:rsidP="00E85CF1">
      <w:pPr>
        <w:spacing w:after="0"/>
        <w:ind w:left="1080"/>
        <w:rPr>
          <w:color w:val="FF0000"/>
        </w:rPr>
      </w:pPr>
      <w:r>
        <w:t xml:space="preserve">FY </w:t>
      </w:r>
      <w:r w:rsidR="007E4A68">
        <w:t>2019</w:t>
      </w:r>
      <w:r>
        <w:t>:</w:t>
      </w:r>
      <w:r>
        <w:tab/>
      </w:r>
      <w:r w:rsidRPr="000F7490">
        <w:t>$</w:t>
      </w:r>
      <w:r w:rsidRPr="00F50712">
        <w:rPr>
          <w:color w:val="FF0000"/>
        </w:rPr>
        <w:t xml:space="preserve"> </w:t>
      </w:r>
      <w:r w:rsidR="000F7490" w:rsidRPr="00F50712">
        <w:rPr>
          <w:color w:val="FF0000"/>
        </w:rPr>
        <w:t>0</w:t>
      </w:r>
    </w:p>
    <w:p w14:paraId="5D444E27" w14:textId="77777777" w:rsidR="004C04B2" w:rsidRDefault="004C04B2" w:rsidP="00E85CF1">
      <w:pPr>
        <w:spacing w:after="0"/>
        <w:ind w:left="1080"/>
      </w:pPr>
    </w:p>
    <w:p w14:paraId="5F492B3D" w14:textId="25572FE8" w:rsidR="00E85CF1" w:rsidRPr="00F50712" w:rsidRDefault="00C21301" w:rsidP="00C36C43">
      <w:pPr>
        <w:rPr>
          <w:i/>
          <w:color w:val="FF0000"/>
        </w:rPr>
      </w:pPr>
      <w:r>
        <w:rPr>
          <w:color w:val="FF0000"/>
        </w:rPr>
        <w:t>SSA’s</w:t>
      </w:r>
      <w:r w:rsidR="00D1760A" w:rsidRPr="00F50712">
        <w:rPr>
          <w:color w:val="FF0000"/>
        </w:rPr>
        <w:t xml:space="preserve"> FY</w:t>
      </w:r>
      <w:r>
        <w:rPr>
          <w:color w:val="FF0000"/>
        </w:rPr>
        <w:t xml:space="preserve"> </w:t>
      </w:r>
      <w:r w:rsidR="00D1760A" w:rsidRPr="00F50712">
        <w:rPr>
          <w:color w:val="FF0000"/>
        </w:rPr>
        <w:t xml:space="preserve">18 energy performance contracts target is approximately $11 million, via a proposed UESC performance contract (July 2017) in the Frank Hagel Federal Building (FHFB) in Richmond, California. This contract includes installing </w:t>
      </w:r>
      <w:r>
        <w:rPr>
          <w:color w:val="FF0000"/>
        </w:rPr>
        <w:t>2</w:t>
      </w:r>
      <w:r w:rsidRPr="00F50712">
        <w:rPr>
          <w:color w:val="FF0000"/>
        </w:rPr>
        <w:t xml:space="preserve"> </w:t>
      </w:r>
      <w:r w:rsidR="00D1760A" w:rsidRPr="00F50712">
        <w:rPr>
          <w:color w:val="FF0000"/>
        </w:rPr>
        <w:t xml:space="preserve">energy efficient chillers ($7 million) and </w:t>
      </w:r>
      <w:r>
        <w:rPr>
          <w:color w:val="FF0000"/>
        </w:rPr>
        <w:t>10</w:t>
      </w:r>
      <w:r w:rsidRPr="00F50712">
        <w:rPr>
          <w:color w:val="FF0000"/>
        </w:rPr>
        <w:t xml:space="preserve"> </w:t>
      </w:r>
      <w:r w:rsidR="00D1760A" w:rsidRPr="00F50712">
        <w:rPr>
          <w:color w:val="FF0000"/>
        </w:rPr>
        <w:t xml:space="preserve">energy efficient air handler units ($4 million). </w:t>
      </w:r>
      <w:r w:rsidR="000A2448" w:rsidRPr="00F50712">
        <w:rPr>
          <w:color w:val="FF0000"/>
        </w:rPr>
        <w:t xml:space="preserve">We exceeded our $20 million pledge under the Presidential Performance Contracting Challenge by </w:t>
      </w:r>
      <w:r w:rsidR="000F7490" w:rsidRPr="00F50712">
        <w:rPr>
          <w:color w:val="FF0000"/>
        </w:rPr>
        <w:t xml:space="preserve">the end of </w:t>
      </w:r>
      <w:r w:rsidR="000A2448" w:rsidRPr="00F50712">
        <w:rPr>
          <w:color w:val="FF0000"/>
        </w:rPr>
        <w:t>2016</w:t>
      </w:r>
      <w:r w:rsidR="00D1760A" w:rsidRPr="00F50712">
        <w:rPr>
          <w:color w:val="FF0000"/>
        </w:rPr>
        <w:t xml:space="preserve"> and have already exceeded the recommended total cumulative agency performance contracting commitments set forth in the EO 13693 Implementing Instructions</w:t>
      </w:r>
      <w:r w:rsidR="000A2448" w:rsidRPr="00F50712">
        <w:rPr>
          <w:color w:val="FF0000"/>
        </w:rPr>
        <w:t xml:space="preserve">. </w:t>
      </w:r>
      <w:r w:rsidR="00D1760A" w:rsidRPr="00F50712">
        <w:rPr>
          <w:color w:val="FF0000"/>
        </w:rPr>
        <w:t xml:space="preserve">The total cumulative commitment from the agency is $49.2 million </w:t>
      </w:r>
      <w:r w:rsidR="00616963" w:rsidRPr="00F50712">
        <w:rPr>
          <w:color w:val="FF0000"/>
        </w:rPr>
        <w:t xml:space="preserve">(from 20212 through 2018) </w:t>
      </w:r>
      <w:r w:rsidR="00D1760A" w:rsidRPr="00F50712">
        <w:rPr>
          <w:color w:val="FF0000"/>
        </w:rPr>
        <w:t xml:space="preserve">so far, greatly exceeding the $16.6 million FY 2018 guideline commitment. Included in our $49.2 million in commitments is </w:t>
      </w:r>
      <w:r w:rsidR="000F7490" w:rsidRPr="00F50712">
        <w:rPr>
          <w:color w:val="FF0000"/>
        </w:rPr>
        <w:t>$17</w:t>
      </w:r>
      <w:r w:rsidR="008B541B" w:rsidRPr="00F50712">
        <w:rPr>
          <w:color w:val="FF0000"/>
        </w:rPr>
        <w:t>.8</w:t>
      </w:r>
      <w:r w:rsidR="000F7490" w:rsidRPr="00F50712">
        <w:rPr>
          <w:color w:val="FF0000"/>
        </w:rPr>
        <w:t xml:space="preserve"> million in performance contracts at our Harold Washington Social Security Center in Chicago, Illinois, where construction will start in FY 2017</w:t>
      </w:r>
      <w:r w:rsidR="00D1760A" w:rsidRPr="00F50712">
        <w:rPr>
          <w:color w:val="FF0000"/>
        </w:rPr>
        <w:t xml:space="preserve">, and $20.4 million previously awarded at our </w:t>
      </w:r>
      <w:r>
        <w:rPr>
          <w:color w:val="FF0000"/>
        </w:rPr>
        <w:t>HQ</w:t>
      </w:r>
      <w:r w:rsidRPr="00F50712">
        <w:rPr>
          <w:color w:val="FF0000"/>
        </w:rPr>
        <w:t xml:space="preserve"> </w:t>
      </w:r>
      <w:r w:rsidR="00616963" w:rsidRPr="00F50712">
        <w:rPr>
          <w:color w:val="FF0000"/>
        </w:rPr>
        <w:t>facilities from 2012 to 2016</w:t>
      </w:r>
      <w:r w:rsidR="000F7490" w:rsidRPr="00F50712">
        <w:rPr>
          <w:color w:val="FF0000"/>
        </w:rPr>
        <w:t>.</w:t>
      </w:r>
      <w:r w:rsidR="00D1760A" w:rsidRPr="00F50712">
        <w:rPr>
          <w:color w:val="FF0000"/>
        </w:rPr>
        <w:t xml:space="preserve"> There is no target set for FY 2019 because we have already reached our goals, but</w:t>
      </w:r>
      <w:r w:rsidR="000F7490" w:rsidRPr="00F50712">
        <w:rPr>
          <w:color w:val="FF0000"/>
        </w:rPr>
        <w:t xml:space="preserve"> </w:t>
      </w:r>
      <w:r>
        <w:rPr>
          <w:color w:val="FF0000"/>
        </w:rPr>
        <w:t>we are</w:t>
      </w:r>
      <w:r w:rsidR="000F7490" w:rsidRPr="00F50712">
        <w:rPr>
          <w:color w:val="FF0000"/>
        </w:rPr>
        <w:t xml:space="preserve"> planning to begin design on a combined heat and power plant in 2018</w:t>
      </w:r>
      <w:r>
        <w:rPr>
          <w:color w:val="FF0000"/>
        </w:rPr>
        <w:t>,</w:t>
      </w:r>
      <w:r w:rsidR="000F7490" w:rsidRPr="00F50712">
        <w:rPr>
          <w:color w:val="FF0000"/>
        </w:rPr>
        <w:t xml:space="preserve"> which would be constructed between 2019 and 2021</w:t>
      </w:r>
      <w:r>
        <w:rPr>
          <w:color w:val="FF0000"/>
        </w:rPr>
        <w:t>,</w:t>
      </w:r>
      <w:r w:rsidR="000F7490" w:rsidRPr="00F50712">
        <w:rPr>
          <w:color w:val="FF0000"/>
        </w:rPr>
        <w:t xml:space="preserve"> and presents opportunities for additional performance contracts.</w:t>
      </w:r>
    </w:p>
    <w:p w14:paraId="6130DB3C" w14:textId="7A0FB125" w:rsidR="00EF0BA3" w:rsidRPr="00EF0BA3" w:rsidRDefault="00EF0BA3" w:rsidP="0041763D">
      <w:pPr>
        <w:pStyle w:val="Heading3"/>
      </w:pPr>
      <w:bookmarkStart w:id="75" w:name="_Toc444272915"/>
      <w:r w:rsidRPr="00EF0BA3">
        <w:t xml:space="preserve">Chart: Progress Toward Target under the </w:t>
      </w:r>
      <w:r w:rsidR="004C04B2">
        <w:t xml:space="preserve">2016 </w:t>
      </w:r>
      <w:r w:rsidRPr="00EF0BA3">
        <w:t>Performance Contracting Challenge</w:t>
      </w:r>
      <w:bookmarkEnd w:id="75"/>
      <w:r w:rsidR="005048C7">
        <w:rPr>
          <w:rStyle w:val="FootnoteReference"/>
        </w:rPr>
        <w:footnoteReference w:id="2"/>
      </w:r>
    </w:p>
    <w:p w14:paraId="6272E97C" w14:textId="08748603" w:rsidR="00E85CF1" w:rsidRDefault="000A2448" w:rsidP="001F60F5">
      <w:pPr>
        <w:jc w:val="center"/>
        <w:rPr>
          <w:i/>
        </w:rPr>
      </w:pPr>
      <w:r>
        <w:rPr>
          <w:noProof/>
        </w:rPr>
        <w:drawing>
          <wp:inline distT="0" distB="0" distL="0" distR="0" wp14:anchorId="7945C893" wp14:editId="052CA50B">
            <wp:extent cx="5943600" cy="47351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735195"/>
                    </a:xfrm>
                    <a:prstGeom prst="rect">
                      <a:avLst/>
                    </a:prstGeom>
                  </pic:spPr>
                </pic:pic>
              </a:graphicData>
            </a:graphic>
          </wp:inline>
        </w:drawing>
      </w:r>
    </w:p>
    <w:p w14:paraId="705036B4" w14:textId="29ACBBA7" w:rsidR="00E85CF1" w:rsidRPr="00F50712" w:rsidRDefault="000A2448" w:rsidP="00E85CF1">
      <w:pPr>
        <w:rPr>
          <w:i/>
          <w:color w:val="FF0000"/>
        </w:rPr>
      </w:pPr>
      <w:r w:rsidRPr="00F50712">
        <w:rPr>
          <w:color w:val="FF0000"/>
        </w:rPr>
        <w:t>SSA’s commitment under the President’s Performance Contracting Challenge is $20 million in contracts, all of which was awarded prior to the end of calendar year 2016.</w:t>
      </w:r>
      <w:r w:rsidR="00E85CF1" w:rsidRPr="00F50712">
        <w:rPr>
          <w:i/>
          <w:color w:val="FF0000"/>
        </w:rPr>
        <w:t xml:space="preserve"> </w:t>
      </w:r>
    </w:p>
    <w:p w14:paraId="4EC228E7" w14:textId="0DD3F576" w:rsidR="00733DF2" w:rsidRPr="007E4A68" w:rsidRDefault="00733DF2" w:rsidP="00733DF2">
      <w:pPr>
        <w:pStyle w:val="Heading3"/>
        <w:rPr>
          <w:b w:val="0"/>
          <w:i/>
        </w:rPr>
      </w:pPr>
      <w:bookmarkStart w:id="76" w:name="_Toc444272916"/>
      <w:r>
        <w:t>Performance Contracting Strategies</w:t>
      </w:r>
      <w:bookmarkEnd w:id="76"/>
      <w:r w:rsidR="006E7E3C">
        <w:t xml:space="preserve"> for Fiscal Year 2018</w:t>
      </w:r>
      <w:r w:rsidR="00B32BCC">
        <w:t xml:space="preserve"> </w:t>
      </w:r>
    </w:p>
    <w:tbl>
      <w:tblPr>
        <w:tblW w:w="5000" w:type="pct"/>
        <w:tblLayout w:type="fixed"/>
        <w:tblCellMar>
          <w:left w:w="0" w:type="dxa"/>
          <w:right w:w="0" w:type="dxa"/>
        </w:tblCellMar>
        <w:tblLook w:val="01E0" w:firstRow="1" w:lastRow="1" w:firstColumn="1" w:lastColumn="1" w:noHBand="0" w:noVBand="0"/>
      </w:tblPr>
      <w:tblGrid>
        <w:gridCol w:w="4223"/>
        <w:gridCol w:w="3332"/>
        <w:gridCol w:w="2515"/>
      </w:tblGrid>
      <w:tr w:rsidR="007E4A68" w:rsidRPr="00EB49B5" w14:paraId="7C035B01" w14:textId="77777777" w:rsidTr="007E4A68">
        <w:trPr>
          <w:cantSplit/>
          <w:tblHeader/>
        </w:trPr>
        <w:tc>
          <w:tcPr>
            <w:tcW w:w="42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F5F2555" w14:textId="77777777" w:rsidR="007E4A68" w:rsidRPr="00EB49B5" w:rsidRDefault="007E4A68" w:rsidP="002E256D">
            <w:pPr>
              <w:pStyle w:val="Table"/>
              <w:jc w:val="center"/>
              <w:rPr>
                <w:b/>
              </w:rPr>
            </w:pPr>
            <w:r w:rsidRPr="00EB49B5">
              <w:rPr>
                <w:b/>
              </w:rPr>
              <w:t>Strategy</w:t>
            </w:r>
          </w:p>
        </w:tc>
        <w:tc>
          <w:tcPr>
            <w:tcW w:w="33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1B9FBC" w14:textId="77777777" w:rsidR="007E4A68" w:rsidRPr="00EB49B5" w:rsidRDefault="007E4A68" w:rsidP="002E256D">
            <w:pPr>
              <w:pStyle w:val="Table"/>
              <w:jc w:val="center"/>
              <w:rPr>
                <w:b/>
              </w:rPr>
            </w:pPr>
            <w:r>
              <w:rPr>
                <w:b/>
              </w:rPr>
              <w:t>Strategy Narrative</w:t>
            </w:r>
          </w:p>
        </w:tc>
        <w:tc>
          <w:tcPr>
            <w:tcW w:w="2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CBEB00" w14:textId="77777777" w:rsidR="007E4A68" w:rsidRPr="00EB49B5" w:rsidRDefault="007E4A68" w:rsidP="002E256D">
            <w:pPr>
              <w:pStyle w:val="Table"/>
              <w:jc w:val="center"/>
              <w:rPr>
                <w:b/>
              </w:rPr>
            </w:pPr>
            <w:r>
              <w:rPr>
                <w:b/>
              </w:rPr>
              <w:t>Targets and Metrics</w:t>
            </w:r>
          </w:p>
        </w:tc>
      </w:tr>
      <w:tr w:rsidR="000A2448" w:rsidRPr="00174DC2" w14:paraId="7782DC72" w14:textId="77777777" w:rsidTr="007E4A68">
        <w:trPr>
          <w:cantSplit/>
        </w:trPr>
        <w:tc>
          <w:tcPr>
            <w:tcW w:w="4223" w:type="dxa"/>
            <w:tcBorders>
              <w:top w:val="single" w:sz="4" w:space="0" w:color="000000"/>
              <w:left w:val="single" w:sz="4" w:space="0" w:color="000000"/>
              <w:bottom w:val="single" w:sz="4" w:space="0" w:color="000000"/>
              <w:right w:val="single" w:sz="4" w:space="0" w:color="000000"/>
            </w:tcBorders>
          </w:tcPr>
          <w:p w14:paraId="43E34227" w14:textId="1021B733" w:rsidR="000A2448" w:rsidRPr="00174DC2" w:rsidRDefault="000A2448" w:rsidP="000A2448">
            <w:pPr>
              <w:pStyle w:val="Table"/>
            </w:pPr>
            <w:r w:rsidRPr="00174DC2">
              <w:t xml:space="preserve">Utilize performance contracting </w:t>
            </w:r>
            <w:r>
              <w:t xml:space="preserve">and incorporate use of ESPCs and UESCs into planning activities </w:t>
            </w:r>
            <w:r w:rsidRPr="00174DC2">
              <w:t>to meet identified energy</w:t>
            </w:r>
            <w:r>
              <w:t xml:space="preserve"> &amp; water</w:t>
            </w:r>
            <w:r w:rsidRPr="00174DC2">
              <w:t xml:space="preserve"> efficiency</w:t>
            </w:r>
            <w:r>
              <w:t xml:space="preserve"> </w:t>
            </w:r>
            <w:r w:rsidRPr="00174DC2">
              <w:t xml:space="preserve">and </w:t>
            </w:r>
            <w:r>
              <w:t>Administration objectives</w:t>
            </w:r>
            <w:r w:rsidRPr="00174DC2">
              <w:t xml:space="preserve"> while deploying life-cycle cost effective </w:t>
            </w:r>
            <w:r>
              <w:t xml:space="preserve">infrastructure projects, with </w:t>
            </w:r>
            <w:r w:rsidRPr="00174DC2">
              <w:t xml:space="preserve">clean energy </w:t>
            </w:r>
            <w:r>
              <w:t xml:space="preserve">technology, energy </w:t>
            </w:r>
            <w:r w:rsidRPr="00174DC2">
              <w:t xml:space="preserve">and water </w:t>
            </w:r>
            <w:r>
              <w:t xml:space="preserve">&amp; other savings </w:t>
            </w:r>
            <w:r w:rsidRPr="00174DC2">
              <w:t>measures</w:t>
            </w:r>
            <w:r>
              <w:t>.</w:t>
            </w:r>
            <w:r w:rsidRPr="00174DC2">
              <w:t xml:space="preserve"> </w:t>
            </w:r>
          </w:p>
        </w:tc>
        <w:tc>
          <w:tcPr>
            <w:tcW w:w="3332" w:type="dxa"/>
            <w:tcBorders>
              <w:top w:val="single" w:sz="4" w:space="0" w:color="000000"/>
              <w:left w:val="single" w:sz="4" w:space="0" w:color="000000"/>
              <w:bottom w:val="single" w:sz="4" w:space="0" w:color="000000"/>
              <w:right w:val="single" w:sz="4" w:space="0" w:color="000000"/>
            </w:tcBorders>
          </w:tcPr>
          <w:p w14:paraId="0A0DBEAB" w14:textId="45ECECAE" w:rsidR="000A2448" w:rsidRPr="00E375BF" w:rsidRDefault="00C21301" w:rsidP="00C21301">
            <w:pPr>
              <w:pStyle w:val="Table"/>
            </w:pPr>
            <w:r w:rsidRPr="00E375BF">
              <w:t xml:space="preserve">We </w:t>
            </w:r>
            <w:r w:rsidR="000A2448" w:rsidRPr="00E375BF">
              <w:t>plan to use a UESC contract to replace major HVAC equipment at our Frank Hagel Federal Building in Richmond, California.  Tentative award in FY</w:t>
            </w:r>
            <w:r w:rsidRPr="00E375BF">
              <w:t xml:space="preserve"> 17 </w:t>
            </w:r>
            <w:r w:rsidR="000A2448" w:rsidRPr="00E375BF">
              <w:t>2 with construction in FY</w:t>
            </w:r>
            <w:r w:rsidRPr="00E375BF">
              <w:t xml:space="preserve"> </w:t>
            </w:r>
            <w:r w:rsidR="000A2448" w:rsidRPr="00E375BF">
              <w:t>18/FY</w:t>
            </w:r>
            <w:r w:rsidRPr="00E375BF">
              <w:t xml:space="preserve"> </w:t>
            </w:r>
            <w:r w:rsidR="000A2448" w:rsidRPr="00E375BF">
              <w:t xml:space="preserve">19 </w:t>
            </w:r>
            <w:r w:rsidR="000A2448" w:rsidRPr="00E375BF">
              <w:rPr>
                <w:rFonts w:cs="Times New Roman"/>
              </w:rPr>
              <w:t xml:space="preserve">  </w:t>
            </w:r>
          </w:p>
        </w:tc>
        <w:tc>
          <w:tcPr>
            <w:tcW w:w="2515" w:type="dxa"/>
            <w:tcBorders>
              <w:top w:val="single" w:sz="4" w:space="0" w:color="000000"/>
              <w:left w:val="single" w:sz="4" w:space="0" w:color="000000"/>
              <w:bottom w:val="single" w:sz="4" w:space="0" w:color="000000"/>
              <w:right w:val="single" w:sz="4" w:space="0" w:color="000000"/>
            </w:tcBorders>
          </w:tcPr>
          <w:p w14:paraId="306E2307" w14:textId="77777777" w:rsidR="000A2448" w:rsidRPr="00E375BF" w:rsidRDefault="000A2448" w:rsidP="000A2448">
            <w:pPr>
              <w:pStyle w:val="Table"/>
              <w:ind w:left="90"/>
            </w:pPr>
            <w:r w:rsidRPr="00E375BF">
              <w:t>Energy intensity reduced 7.5 percent in FY 2018 from the FY 2015 baseline (2.5 annual reduction x 3 years).</w:t>
            </w:r>
          </w:p>
          <w:p w14:paraId="4C586E0E" w14:textId="77777777" w:rsidR="000A2448" w:rsidRPr="00E375BF" w:rsidRDefault="000A2448" w:rsidP="000A2448">
            <w:pPr>
              <w:pStyle w:val="Table"/>
            </w:pPr>
          </w:p>
        </w:tc>
      </w:tr>
      <w:tr w:rsidR="000A2448" w:rsidRPr="00174DC2" w14:paraId="681CAD5F" w14:textId="77777777" w:rsidTr="007E4A68">
        <w:trPr>
          <w:cantSplit/>
        </w:trPr>
        <w:tc>
          <w:tcPr>
            <w:tcW w:w="4223" w:type="dxa"/>
            <w:tcBorders>
              <w:top w:val="single" w:sz="4" w:space="0" w:color="000000"/>
              <w:left w:val="single" w:sz="4" w:space="0" w:color="000000"/>
              <w:bottom w:val="single" w:sz="4" w:space="0" w:color="000000"/>
              <w:right w:val="single" w:sz="4" w:space="0" w:color="000000"/>
            </w:tcBorders>
          </w:tcPr>
          <w:p w14:paraId="287238FF" w14:textId="5D5D920C" w:rsidR="000A2448" w:rsidRPr="00174DC2" w:rsidRDefault="000A2448" w:rsidP="000A2448">
            <w:pPr>
              <w:pStyle w:val="Table"/>
            </w:pPr>
            <w:r w:rsidRPr="00174DC2">
              <w:t xml:space="preserve">Evaluate </w:t>
            </w:r>
            <w:r>
              <w:t xml:space="preserve">the top </w:t>
            </w:r>
            <w:r w:rsidRPr="00174DC2">
              <w:t xml:space="preserve">25% of agency's most energy intensive buildings for </w:t>
            </w:r>
            <w:r>
              <w:t>opportunities to implement comprehensive ESPC/UESC projects.</w:t>
            </w:r>
          </w:p>
        </w:tc>
        <w:tc>
          <w:tcPr>
            <w:tcW w:w="3332" w:type="dxa"/>
            <w:tcBorders>
              <w:top w:val="single" w:sz="4" w:space="0" w:color="000000"/>
              <w:left w:val="single" w:sz="4" w:space="0" w:color="000000"/>
              <w:bottom w:val="single" w:sz="4" w:space="0" w:color="000000"/>
              <w:right w:val="single" w:sz="4" w:space="0" w:color="000000"/>
            </w:tcBorders>
          </w:tcPr>
          <w:p w14:paraId="6929BA81" w14:textId="0C429152" w:rsidR="000A2448" w:rsidRPr="00E375BF" w:rsidRDefault="000A2448" w:rsidP="000A2448">
            <w:pPr>
              <w:pStyle w:val="Table"/>
            </w:pPr>
            <w:r w:rsidRPr="00E375BF">
              <w:rPr>
                <w:rFonts w:cs="Times New Roman"/>
              </w:rPr>
              <w:t>We complete energy audits as required by EISA §432.  We use multiple procurement methods to award contracts to implement energy efficiency measures, including ESPCs and direct funding.</w:t>
            </w:r>
          </w:p>
        </w:tc>
        <w:tc>
          <w:tcPr>
            <w:tcW w:w="2515" w:type="dxa"/>
            <w:tcBorders>
              <w:top w:val="single" w:sz="4" w:space="0" w:color="000000"/>
              <w:left w:val="single" w:sz="4" w:space="0" w:color="000000"/>
              <w:bottom w:val="single" w:sz="4" w:space="0" w:color="000000"/>
              <w:right w:val="single" w:sz="4" w:space="0" w:color="000000"/>
            </w:tcBorders>
          </w:tcPr>
          <w:p w14:paraId="00E4E473" w14:textId="70CDBF18" w:rsidR="000A2448" w:rsidRPr="00E375BF" w:rsidRDefault="000A2448" w:rsidP="000A2448">
            <w:pPr>
              <w:pStyle w:val="Table"/>
            </w:pPr>
            <w:r w:rsidRPr="00E375BF">
              <w:t>Energy audits completed as required under EISA §432.</w:t>
            </w:r>
          </w:p>
        </w:tc>
      </w:tr>
      <w:tr w:rsidR="000A2448" w:rsidRPr="00174DC2" w14:paraId="653C59AB" w14:textId="77777777" w:rsidTr="007E4A68">
        <w:trPr>
          <w:cantSplit/>
        </w:trPr>
        <w:tc>
          <w:tcPr>
            <w:tcW w:w="4223" w:type="dxa"/>
            <w:tcBorders>
              <w:top w:val="single" w:sz="4" w:space="0" w:color="000000"/>
              <w:left w:val="single" w:sz="4" w:space="0" w:color="000000"/>
              <w:bottom w:val="single" w:sz="4" w:space="0" w:color="000000"/>
              <w:right w:val="single" w:sz="4" w:space="0" w:color="000000"/>
            </w:tcBorders>
          </w:tcPr>
          <w:p w14:paraId="0A42AA44" w14:textId="1FF6B082" w:rsidR="000A2448" w:rsidRDefault="000A2448" w:rsidP="000A2448">
            <w:pPr>
              <w:pStyle w:val="Table"/>
            </w:pPr>
            <w:r w:rsidRPr="00174DC2">
              <w:t>Ident</w:t>
            </w:r>
            <w:r>
              <w:t xml:space="preserve">ify potential </w:t>
            </w:r>
            <w:r w:rsidRPr="00174DC2">
              <w:t xml:space="preserve">onsite renewable energy projects in </w:t>
            </w:r>
            <w:r>
              <w:t xml:space="preserve">a specified percentage of </w:t>
            </w:r>
            <w:r w:rsidRPr="00174DC2">
              <w:t>performance contracts</w:t>
            </w:r>
            <w:r>
              <w:t>.</w:t>
            </w:r>
          </w:p>
        </w:tc>
        <w:tc>
          <w:tcPr>
            <w:tcW w:w="3332" w:type="dxa"/>
            <w:tcBorders>
              <w:top w:val="single" w:sz="4" w:space="0" w:color="000000"/>
              <w:left w:val="single" w:sz="4" w:space="0" w:color="000000"/>
              <w:bottom w:val="single" w:sz="4" w:space="0" w:color="000000"/>
              <w:right w:val="single" w:sz="4" w:space="0" w:color="000000"/>
            </w:tcBorders>
          </w:tcPr>
          <w:p w14:paraId="75CDD098" w14:textId="2028E06D" w:rsidR="000A2448" w:rsidRPr="00E375BF" w:rsidRDefault="000A2448" w:rsidP="000A2448">
            <w:pPr>
              <w:pStyle w:val="Table"/>
            </w:pPr>
            <w:r w:rsidRPr="00E375BF">
              <w:rPr>
                <w:rFonts w:cs="Times New Roman"/>
              </w:rPr>
              <w:t>All f</w:t>
            </w:r>
            <w:r w:rsidRPr="00E375BF">
              <w:t>uture performance-based contracts for SSA-delegated facilities will evaluate the potential for renewable energy.</w:t>
            </w:r>
          </w:p>
        </w:tc>
        <w:tc>
          <w:tcPr>
            <w:tcW w:w="2515" w:type="dxa"/>
            <w:tcBorders>
              <w:top w:val="single" w:sz="4" w:space="0" w:color="000000"/>
              <w:left w:val="single" w:sz="4" w:space="0" w:color="000000"/>
              <w:bottom w:val="single" w:sz="4" w:space="0" w:color="000000"/>
              <w:right w:val="single" w:sz="4" w:space="0" w:color="000000"/>
            </w:tcBorders>
          </w:tcPr>
          <w:p w14:paraId="73C84642" w14:textId="5B366DDE" w:rsidR="000A2448" w:rsidRPr="00E375BF" w:rsidRDefault="000A2448" w:rsidP="000A2448">
            <w:pPr>
              <w:pStyle w:val="Table"/>
            </w:pPr>
            <w:r w:rsidRPr="00E375BF">
              <w:t>All future performance-based contracts for SSA-delegated facilities will evaluate the potential for renewable energy.</w:t>
            </w:r>
          </w:p>
        </w:tc>
      </w:tr>
    </w:tbl>
    <w:p w14:paraId="09A7FC3D" w14:textId="77777777" w:rsidR="00733DF2" w:rsidRPr="00576A24" w:rsidRDefault="00733DF2" w:rsidP="00E85CF1">
      <w:pPr>
        <w:rPr>
          <w:i/>
        </w:rPr>
      </w:pPr>
    </w:p>
    <w:p w14:paraId="3DA2BF2C" w14:textId="51B9367F" w:rsidR="00953B4C" w:rsidRPr="00953B4C" w:rsidRDefault="00E85CF1" w:rsidP="00BD722F">
      <w:pPr>
        <w:pStyle w:val="Heading2"/>
      </w:pPr>
      <w:bookmarkStart w:id="77" w:name="_Toc441069304"/>
      <w:bookmarkStart w:id="78" w:name="_Toc486579604"/>
      <w:r>
        <w:t>Goal 9: Electronic</w:t>
      </w:r>
      <w:r w:rsidR="00953039">
        <w:t>s</w:t>
      </w:r>
      <w:r>
        <w:t xml:space="preserve"> Stewardship</w:t>
      </w:r>
      <w:bookmarkEnd w:id="77"/>
      <w:r w:rsidR="0041763D">
        <w:t xml:space="preserve"> &amp; Data Centers</w:t>
      </w:r>
      <w:bookmarkEnd w:id="78"/>
    </w:p>
    <w:p w14:paraId="72A0C453" w14:textId="75AFAA31" w:rsidR="004066DC" w:rsidRDefault="00953039" w:rsidP="004066DC">
      <w:pPr>
        <w:pStyle w:val="Heading3"/>
      </w:pPr>
      <w:bookmarkStart w:id="79" w:name="_Toc444272918"/>
      <w:r>
        <w:t>Electronics</w:t>
      </w:r>
      <w:r w:rsidR="004066DC">
        <w:t xml:space="preserve"> Stewardship Goals</w:t>
      </w:r>
      <w:bookmarkEnd w:id="79"/>
    </w:p>
    <w:p w14:paraId="2AC9561A" w14:textId="1523266F" w:rsidR="00E85CF1" w:rsidRDefault="00E85CF1" w:rsidP="00E85CF1">
      <w:pPr>
        <w:contextualSpacing/>
      </w:pPr>
      <w:r w:rsidRPr="00174DC2">
        <w:t xml:space="preserve">E.O. 13693 </w:t>
      </w:r>
      <w:r>
        <w:t xml:space="preserve">Section </w:t>
      </w:r>
      <w:r w:rsidRPr="00174DC2">
        <w:t>3(l) requires that agencies promote electronics stewardship</w:t>
      </w:r>
      <w:r>
        <w:t xml:space="preserve">, including </w:t>
      </w:r>
      <w:r w:rsidRPr="00174DC2">
        <w:t>procurement preference for environmentally sustainable electronic produ</w:t>
      </w:r>
      <w:r w:rsidR="00F80FD1">
        <w:t xml:space="preserve">cts; </w:t>
      </w:r>
      <w:r w:rsidRPr="00174DC2">
        <w:t>establishing and implementing policies to enable power management, du</w:t>
      </w:r>
      <w:r w:rsidR="001E2C84">
        <w:t xml:space="preserve">plex printing, and other energy </w:t>
      </w:r>
      <w:r w:rsidRPr="00174DC2">
        <w:t xml:space="preserve">efficient or environmentally sustainable features on all eligible </w:t>
      </w:r>
      <w:r w:rsidR="00F80FD1">
        <w:t xml:space="preserve">agency electronic products; and </w:t>
      </w:r>
      <w:r w:rsidRPr="00174DC2">
        <w:t>employing environmentally sound practices with respect to the agency's disposition of all agency excess or surplus electronic products.</w:t>
      </w:r>
    </w:p>
    <w:p w14:paraId="3EA57887" w14:textId="6F2104F2" w:rsidR="00665A4B" w:rsidRDefault="00665A4B" w:rsidP="008C46FC">
      <w:pPr>
        <w:pStyle w:val="Heading3"/>
      </w:pPr>
      <w:r>
        <w:t>A</w:t>
      </w:r>
      <w:r w:rsidRPr="00665A4B">
        <w:t>gency Progress in Meeting Electronic</w:t>
      </w:r>
      <w:r w:rsidR="00953039">
        <w:t>s</w:t>
      </w:r>
      <w:r w:rsidRPr="00665A4B">
        <w:t xml:space="preserve"> Stewardship Goals</w:t>
      </w:r>
    </w:p>
    <w:p w14:paraId="53119EAC" w14:textId="70ACFABD" w:rsidR="001A4775" w:rsidRPr="002E3028" w:rsidRDefault="001A4775" w:rsidP="001A4775">
      <w:pPr>
        <w:pStyle w:val="Heading3"/>
      </w:pPr>
      <w:r>
        <w:t>Chart: Insert chart(s) on progress towards procurement goal, power management goal, and end of life goal</w:t>
      </w:r>
    </w:p>
    <w:p w14:paraId="72DD0BB5" w14:textId="77777777" w:rsidR="000A2448" w:rsidRDefault="000A2448" w:rsidP="000A2448">
      <w:pPr>
        <w:jc w:val="center"/>
      </w:pPr>
      <w:r>
        <w:t>Electronics Stewardship</w:t>
      </w:r>
    </w:p>
    <w:tbl>
      <w:tblPr>
        <w:tblStyle w:val="TableGrid"/>
        <w:tblW w:w="7072" w:type="dxa"/>
        <w:tblInd w:w="1135" w:type="dxa"/>
        <w:tblLook w:val="04A0" w:firstRow="1" w:lastRow="0" w:firstColumn="1" w:lastColumn="0" w:noHBand="0" w:noVBand="1"/>
      </w:tblPr>
      <w:tblGrid>
        <w:gridCol w:w="2357"/>
        <w:gridCol w:w="2357"/>
        <w:gridCol w:w="2358"/>
      </w:tblGrid>
      <w:tr w:rsidR="000A2448" w:rsidRPr="006603DC" w14:paraId="401E933A" w14:textId="77777777" w:rsidTr="00FE34F7">
        <w:trPr>
          <w:trHeight w:val="440"/>
        </w:trPr>
        <w:tc>
          <w:tcPr>
            <w:tcW w:w="2357" w:type="dxa"/>
            <w:vAlign w:val="center"/>
          </w:tcPr>
          <w:p w14:paraId="25172301" w14:textId="77777777" w:rsidR="000A2448" w:rsidRPr="006603DC" w:rsidRDefault="000A2448" w:rsidP="00FE34F7">
            <w:pPr>
              <w:jc w:val="center"/>
              <w:rPr>
                <w:rFonts w:cs="Times New Roman"/>
              </w:rPr>
            </w:pPr>
            <w:r w:rsidRPr="006603DC">
              <w:rPr>
                <w:rFonts w:cs="Times New Roman"/>
              </w:rPr>
              <w:t>EPEAT</w:t>
            </w:r>
          </w:p>
        </w:tc>
        <w:tc>
          <w:tcPr>
            <w:tcW w:w="2357" w:type="dxa"/>
            <w:vAlign w:val="center"/>
          </w:tcPr>
          <w:p w14:paraId="03A6A7C5" w14:textId="77777777" w:rsidR="000A2448" w:rsidRPr="006603DC" w:rsidRDefault="000A2448" w:rsidP="00FE34F7">
            <w:pPr>
              <w:jc w:val="center"/>
              <w:rPr>
                <w:rFonts w:cs="Times New Roman"/>
              </w:rPr>
            </w:pPr>
            <w:r w:rsidRPr="006603DC">
              <w:rPr>
                <w:rFonts w:cs="Times New Roman"/>
              </w:rPr>
              <w:t>POWER MANAGEMENT</w:t>
            </w:r>
          </w:p>
        </w:tc>
        <w:tc>
          <w:tcPr>
            <w:tcW w:w="2358" w:type="dxa"/>
            <w:vAlign w:val="center"/>
          </w:tcPr>
          <w:p w14:paraId="2B7EF235" w14:textId="77777777" w:rsidR="000A2448" w:rsidRPr="006603DC" w:rsidRDefault="000A2448" w:rsidP="00FE34F7">
            <w:pPr>
              <w:jc w:val="center"/>
              <w:rPr>
                <w:rFonts w:cs="Times New Roman"/>
              </w:rPr>
            </w:pPr>
            <w:r>
              <w:rPr>
                <w:rFonts w:cs="Times New Roman"/>
              </w:rPr>
              <w:t>DISPOSITION</w:t>
            </w:r>
          </w:p>
        </w:tc>
      </w:tr>
      <w:tr w:rsidR="000A2448" w:rsidRPr="006603DC" w14:paraId="0F496C61" w14:textId="77777777" w:rsidTr="00FE34F7">
        <w:trPr>
          <w:trHeight w:val="1115"/>
        </w:trPr>
        <w:tc>
          <w:tcPr>
            <w:tcW w:w="2357" w:type="dxa"/>
          </w:tcPr>
          <w:p w14:paraId="7002E5D8" w14:textId="77777777" w:rsidR="000A2448" w:rsidRPr="004B6D54" w:rsidRDefault="000A2448" w:rsidP="00FE34F7">
            <w:pPr>
              <w:jc w:val="center"/>
              <w:rPr>
                <w:rFonts w:cs="Times New Roman"/>
                <w:sz w:val="18"/>
              </w:rPr>
            </w:pPr>
            <w:r w:rsidRPr="004B6D54">
              <w:rPr>
                <w:rFonts w:cs="Times New Roman"/>
                <w:noProof/>
                <w:sz w:val="14"/>
              </w:rPr>
              <mc:AlternateContent>
                <mc:Choice Requires="wps">
                  <w:drawing>
                    <wp:anchor distT="45720" distB="45720" distL="114300" distR="114300" simplePos="0" relativeHeight="251659264" behindDoc="0" locked="0" layoutInCell="1" allowOverlap="1" wp14:anchorId="794AF67F" wp14:editId="00FCDA56">
                      <wp:simplePos x="0" y="0"/>
                      <wp:positionH relativeFrom="column">
                        <wp:posOffset>240665</wp:posOffset>
                      </wp:positionH>
                      <wp:positionV relativeFrom="paragraph">
                        <wp:posOffset>74930</wp:posOffset>
                      </wp:positionV>
                      <wp:extent cx="863600" cy="266700"/>
                      <wp:effectExtent l="0" t="0" r="1270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66700"/>
                              </a:xfrm>
                              <a:prstGeom prst="rect">
                                <a:avLst/>
                              </a:prstGeom>
                              <a:solidFill>
                                <a:srgbClr val="92D050"/>
                              </a:solidFill>
                              <a:ln w="9525">
                                <a:solidFill>
                                  <a:srgbClr val="000000"/>
                                </a:solidFill>
                                <a:miter lim="800000"/>
                                <a:headEnd/>
                                <a:tailEnd/>
                              </a:ln>
                            </wps:spPr>
                            <wps:txbx>
                              <w:txbxContent>
                                <w:p w14:paraId="07A220D2" w14:textId="77777777" w:rsidR="006F131A" w:rsidRPr="00EE387E" w:rsidRDefault="006F131A" w:rsidP="000A2448">
                                  <w:pPr>
                                    <w:jc w:val="center"/>
                                  </w:pPr>
                                  <w:r>
                                    <w:t>100.0</w:t>
                                  </w:r>
                                  <w:r w:rsidRPr="00EE387E">
                                    <w:t>%</w:t>
                                  </w:r>
                                </w:p>
                                <w:p w14:paraId="71D1BAE7" w14:textId="77777777" w:rsidR="006F131A" w:rsidRDefault="006F131A" w:rsidP="000A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794AF67F" id="_x0000_s1028" type="#_x0000_t202" style="position:absolute;left:0;text-align:left;margin-left:18.95pt;margin-top:5.9pt;width:68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" fillcolor="#92d050">
                      <v:textbox>
                        <w:txbxContent>
                          <w:p w14:paraId="07A220D2" w14:textId="77777777" w:rsidR="006F131A" w:rsidRPr="00EE387E" w:rsidRDefault="006F131A" w:rsidP="000A2448">
                            <w:pPr>
                              <w:jc w:val="center"/>
                            </w:pPr>
                            <w:r>
                              <w:t>100.0</w:t>
                            </w:r>
                            <w:r w:rsidRPr="00EE387E">
                              <w:t>%</w:t>
                            </w:r>
                          </w:p>
                          <w:p w14:paraId="71D1BAE7" w14:textId="77777777" w:rsidR="006F131A" w:rsidRDefault="006F131A" w:rsidP="000A2448"/>
                        </w:txbxContent>
                      </v:textbox>
                      <w10:wrap type="square"/>
                    </v:shape>
                  </w:pict>
                </mc:Fallback>
              </mc:AlternateContent>
            </w:r>
            <w:r w:rsidRPr="004B6D54">
              <w:rPr>
                <w:rFonts w:cs="Times New Roman"/>
                <w:sz w:val="14"/>
              </w:rPr>
              <w:t xml:space="preserve">Percentage of monitors, PCs and </w:t>
            </w:r>
            <w:r>
              <w:rPr>
                <w:rFonts w:cs="Times New Roman"/>
                <w:sz w:val="14"/>
              </w:rPr>
              <w:t>l</w:t>
            </w:r>
            <w:r w:rsidRPr="004B6D54">
              <w:rPr>
                <w:rFonts w:cs="Times New Roman"/>
                <w:sz w:val="14"/>
              </w:rPr>
              <w:t xml:space="preserve">aptops acquired by the agency that </w:t>
            </w:r>
            <w:r>
              <w:rPr>
                <w:rFonts w:cs="Times New Roman"/>
                <w:sz w:val="14"/>
              </w:rPr>
              <w:t>meet EPEAT-registry standards</w:t>
            </w:r>
          </w:p>
        </w:tc>
        <w:tc>
          <w:tcPr>
            <w:tcW w:w="2357" w:type="dxa"/>
          </w:tcPr>
          <w:p w14:paraId="3A387E23" w14:textId="77777777" w:rsidR="000A2448" w:rsidRPr="008746E7" w:rsidRDefault="000A2448" w:rsidP="00FE34F7">
            <w:pPr>
              <w:jc w:val="center"/>
              <w:rPr>
                <w:rFonts w:cs="Times New Roman"/>
              </w:rPr>
            </w:pPr>
            <w:r w:rsidRPr="004B6D54">
              <w:rPr>
                <w:rFonts w:cs="Times New Roman"/>
                <w:noProof/>
                <w:sz w:val="14"/>
              </w:rPr>
              <mc:AlternateContent>
                <mc:Choice Requires="wps">
                  <w:drawing>
                    <wp:anchor distT="45720" distB="45720" distL="114300" distR="114300" simplePos="0" relativeHeight="251657216" behindDoc="0" locked="0" layoutInCell="1" allowOverlap="1" wp14:anchorId="55AABAAA" wp14:editId="6CD3CF16">
                      <wp:simplePos x="0" y="0"/>
                      <wp:positionH relativeFrom="column">
                        <wp:posOffset>225425</wp:posOffset>
                      </wp:positionH>
                      <wp:positionV relativeFrom="paragraph">
                        <wp:posOffset>80010</wp:posOffset>
                      </wp:positionV>
                      <wp:extent cx="863600" cy="295275"/>
                      <wp:effectExtent l="0" t="0" r="1270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95275"/>
                              </a:xfrm>
                              <a:prstGeom prst="rect">
                                <a:avLst/>
                              </a:prstGeom>
                              <a:solidFill>
                                <a:srgbClr val="92D050"/>
                              </a:solidFill>
                              <a:ln w="9525">
                                <a:solidFill>
                                  <a:srgbClr val="000000"/>
                                </a:solidFill>
                                <a:miter lim="800000"/>
                                <a:headEnd/>
                                <a:tailEnd/>
                              </a:ln>
                            </wps:spPr>
                            <wps:txbx>
                              <w:txbxContent>
                                <w:p w14:paraId="15FC2CFA" w14:textId="77777777" w:rsidR="006F131A" w:rsidRPr="00EE387E" w:rsidRDefault="006F131A" w:rsidP="000A2448">
                                  <w:pPr>
                                    <w:jc w:val="center"/>
                                  </w:pPr>
                                  <w:r>
                                    <w:t>100.0</w:t>
                                  </w:r>
                                  <w:r w:rsidRPr="00EE387E">
                                    <w:t>%</w:t>
                                  </w:r>
                                </w:p>
                                <w:p w14:paraId="06562C72" w14:textId="77777777" w:rsidR="006F131A" w:rsidRDefault="006F131A" w:rsidP="000A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55AABAAA" id="_x0000_s1029" type="#_x0000_t202" style="position:absolute;left:0;text-align:left;margin-left:17.75pt;margin-top:6.3pt;width:68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" fillcolor="#92d050">
                      <v:textbox>
                        <w:txbxContent>
                          <w:p w14:paraId="15FC2CFA" w14:textId="77777777" w:rsidR="006F131A" w:rsidRPr="00EE387E" w:rsidRDefault="006F131A" w:rsidP="000A2448">
                            <w:pPr>
                              <w:jc w:val="center"/>
                            </w:pPr>
                            <w:r>
                              <w:t>100.0</w:t>
                            </w:r>
                            <w:r w:rsidRPr="00EE387E">
                              <w:t>%</w:t>
                            </w:r>
                          </w:p>
                          <w:p w14:paraId="06562C72" w14:textId="77777777" w:rsidR="006F131A" w:rsidRDefault="006F131A" w:rsidP="000A2448"/>
                        </w:txbxContent>
                      </v:textbox>
                      <w10:wrap type="square"/>
                    </v:shape>
                  </w:pict>
                </mc:Fallback>
              </mc:AlternateContent>
            </w:r>
            <w:r w:rsidRPr="004B6D54">
              <w:rPr>
                <w:rFonts w:cs="Times New Roman"/>
                <w:sz w:val="14"/>
              </w:rPr>
              <w:t xml:space="preserve">Percentage of monitors, PCs and </w:t>
            </w:r>
            <w:r>
              <w:rPr>
                <w:rFonts w:cs="Times New Roman"/>
                <w:sz w:val="14"/>
              </w:rPr>
              <w:t>l</w:t>
            </w:r>
            <w:r w:rsidRPr="004B6D54">
              <w:rPr>
                <w:rFonts w:cs="Times New Roman"/>
                <w:sz w:val="14"/>
              </w:rPr>
              <w:t xml:space="preserve">aptops with  power management-enabled </w:t>
            </w:r>
          </w:p>
        </w:tc>
        <w:tc>
          <w:tcPr>
            <w:tcW w:w="2358" w:type="dxa"/>
          </w:tcPr>
          <w:p w14:paraId="244BE97F" w14:textId="77777777" w:rsidR="000A2448" w:rsidRPr="008746E7" w:rsidRDefault="000A2448" w:rsidP="00FE34F7">
            <w:pPr>
              <w:jc w:val="center"/>
              <w:rPr>
                <w:rFonts w:cs="Times New Roman"/>
              </w:rPr>
            </w:pPr>
            <w:r w:rsidRPr="004B6D54">
              <w:rPr>
                <w:rFonts w:cs="Times New Roman"/>
                <w:noProof/>
                <w:sz w:val="14"/>
              </w:rPr>
              <mc:AlternateContent>
                <mc:Choice Requires="wps">
                  <w:drawing>
                    <wp:anchor distT="45720" distB="45720" distL="114300" distR="114300" simplePos="0" relativeHeight="251660288" behindDoc="0" locked="0" layoutInCell="1" allowOverlap="1" wp14:anchorId="3BE29A36" wp14:editId="03A9C397">
                      <wp:simplePos x="0" y="0"/>
                      <wp:positionH relativeFrom="column">
                        <wp:posOffset>243205</wp:posOffset>
                      </wp:positionH>
                      <wp:positionV relativeFrom="paragraph">
                        <wp:posOffset>74930</wp:posOffset>
                      </wp:positionV>
                      <wp:extent cx="863600" cy="304800"/>
                      <wp:effectExtent l="0" t="0" r="1270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04800"/>
                              </a:xfrm>
                              <a:prstGeom prst="rect">
                                <a:avLst/>
                              </a:prstGeom>
                              <a:solidFill>
                                <a:srgbClr val="92D050"/>
                              </a:solidFill>
                              <a:ln w="9525">
                                <a:solidFill>
                                  <a:srgbClr val="000000"/>
                                </a:solidFill>
                                <a:miter lim="800000"/>
                                <a:headEnd/>
                                <a:tailEnd/>
                              </a:ln>
                            </wps:spPr>
                            <wps:txbx>
                              <w:txbxContent>
                                <w:p w14:paraId="32F3B8AD" w14:textId="77777777" w:rsidR="006F131A" w:rsidRDefault="006F131A" w:rsidP="000A2448">
                                  <w:pPr>
                                    <w:jc w:val="center"/>
                                  </w:pPr>
                                  <w:r w:rsidRPr="00EE387E">
                                    <w:t>100.0%*</w:t>
                                  </w:r>
                                </w:p>
                                <w:p w14:paraId="4B00A594" w14:textId="77777777" w:rsidR="006F131A" w:rsidRDefault="006F131A" w:rsidP="000A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3BE29A36" id="_x0000_s1030" type="#_x0000_t202" style="position:absolute;left:0;text-align:left;margin-left:19.15pt;margin-top:5.9pt;width:68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" fillcolor="#92d050">
                      <v:textbox>
                        <w:txbxContent>
                          <w:p w14:paraId="32F3B8AD" w14:textId="77777777" w:rsidR="006F131A" w:rsidRDefault="006F131A" w:rsidP="000A2448">
                            <w:pPr>
                              <w:jc w:val="center"/>
                            </w:pPr>
                            <w:r w:rsidRPr="00EE387E">
                              <w:t>100.0%*</w:t>
                            </w:r>
                          </w:p>
                          <w:p w14:paraId="4B00A594" w14:textId="77777777" w:rsidR="006F131A" w:rsidRDefault="006F131A" w:rsidP="000A2448"/>
                        </w:txbxContent>
                      </v:textbox>
                      <w10:wrap type="square"/>
                    </v:shape>
                  </w:pict>
                </mc:Fallback>
              </mc:AlternateContent>
            </w:r>
            <w:r w:rsidRPr="004B6D54">
              <w:rPr>
                <w:rFonts w:cs="Times New Roman"/>
                <w:sz w:val="14"/>
              </w:rPr>
              <w:t>Percentage of agency electronic</w:t>
            </w:r>
            <w:r>
              <w:rPr>
                <w:rFonts w:cs="Times New Roman"/>
                <w:sz w:val="14"/>
              </w:rPr>
              <w:t>s</w:t>
            </w:r>
            <w:r w:rsidRPr="004B6D54">
              <w:rPr>
                <w:rFonts w:cs="Times New Roman"/>
                <w:sz w:val="14"/>
              </w:rPr>
              <w:t xml:space="preserve"> disposed of using environmentally sound methods</w:t>
            </w:r>
            <w:r w:rsidRPr="007A7E04">
              <w:rPr>
                <w:rFonts w:cs="Times New Roman"/>
                <w:sz w:val="14"/>
                <w:vertAlign w:val="superscript"/>
              </w:rPr>
              <w:t>1,2</w:t>
            </w:r>
          </w:p>
        </w:tc>
      </w:tr>
    </w:tbl>
    <w:p w14:paraId="0ECF8468" w14:textId="77777777" w:rsidR="000A2448" w:rsidRDefault="000A2448" w:rsidP="000A2448">
      <w:pPr>
        <w:spacing w:after="0"/>
        <w:rPr>
          <w:rFonts w:cs="Times New Roman"/>
          <w:i/>
          <w:sz w:val="16"/>
        </w:rPr>
      </w:pPr>
      <w:r w:rsidRPr="00DD7C0D">
        <w:rPr>
          <w:i/>
        </w:rPr>
        <w:t>*</w:t>
      </w:r>
      <w:r w:rsidRPr="00DD7C0D">
        <w:rPr>
          <w:rFonts w:cs="Times New Roman"/>
          <w:i/>
          <w:sz w:val="16"/>
        </w:rPr>
        <w:t>Agency Targets: 100% for all three categories. Green shading indicates achievement of 95% target for EPEAT and 100% target for Power Management and Disposition. Yellow indicates greater than 90% achievement, and red indicates less than 90%. See more information about data sources in the Implementing Instructions, page 64.</w:t>
      </w:r>
      <w:r>
        <w:rPr>
          <w:rFonts w:cs="Times New Roman"/>
          <w:i/>
          <w:sz w:val="16"/>
        </w:rPr>
        <w:br/>
      </w:r>
      <w:r w:rsidRPr="007A7E04">
        <w:rPr>
          <w:rFonts w:cs="Times New Roman"/>
          <w:i/>
          <w:sz w:val="16"/>
          <w:vertAlign w:val="superscript"/>
        </w:rPr>
        <w:t>1</w:t>
      </w:r>
      <w:r>
        <w:rPr>
          <w:rFonts w:cs="Times New Roman"/>
          <w:i/>
          <w:sz w:val="16"/>
        </w:rPr>
        <w:t>Disposition: Percentage based on agency Annual Executive Agency Reports on Excess and Exchange/Sale Personal Property (FMR B-27).</w:t>
      </w:r>
    </w:p>
    <w:p w14:paraId="37B59B71" w14:textId="48F42DFC" w:rsidR="00120BD5" w:rsidRPr="00F76289" w:rsidRDefault="000A2448" w:rsidP="00F76289">
      <w:pPr>
        <w:spacing w:after="0"/>
        <w:rPr>
          <w:rFonts w:cs="Times New Roman"/>
          <w:i/>
          <w:sz w:val="16"/>
        </w:rPr>
      </w:pPr>
      <w:r w:rsidRPr="007A7E04">
        <w:rPr>
          <w:rFonts w:cs="Times New Roman"/>
          <w:i/>
          <w:sz w:val="16"/>
          <w:vertAlign w:val="superscript"/>
        </w:rPr>
        <w:t>2</w:t>
      </w:r>
      <w:r>
        <w:rPr>
          <w:rFonts w:cs="Times New Roman"/>
          <w:i/>
          <w:sz w:val="16"/>
        </w:rPr>
        <w:t xml:space="preserve"> Environmentally sound methods include: reuse through transfer, donation, and sales; and recycling through certified recyclers and manufacturer take-back programs using certified recyclers.</w:t>
      </w:r>
    </w:p>
    <w:p w14:paraId="4EDCB7B0" w14:textId="7F688794" w:rsidR="008C46FC" w:rsidRPr="00B52263" w:rsidRDefault="008C46FC" w:rsidP="008C46FC">
      <w:pPr>
        <w:pStyle w:val="Heading3"/>
      </w:pPr>
      <w:r>
        <w:t>D</w:t>
      </w:r>
      <w:r w:rsidRPr="00B52263">
        <w:t xml:space="preserve">ata Center </w:t>
      </w:r>
      <w:r w:rsidR="00745F02">
        <w:t xml:space="preserve">Optimization </w:t>
      </w:r>
      <w:r>
        <w:t>Goal</w:t>
      </w:r>
    </w:p>
    <w:p w14:paraId="67377E82" w14:textId="558ADAFB" w:rsidR="007567A3" w:rsidRDefault="008C46FC" w:rsidP="00280EDB">
      <w:r w:rsidRPr="00174DC2">
        <w:t>E.O. 13693</w:t>
      </w:r>
      <w:r>
        <w:t xml:space="preserve"> Section 3(a)</w:t>
      </w:r>
      <w:r w:rsidRPr="00174DC2">
        <w:t xml:space="preserve"> states that agencies must improve data center efficiency at agency facilities</w:t>
      </w:r>
      <w:r>
        <w:t xml:space="preserve">, and </w:t>
      </w:r>
      <w:r w:rsidRPr="00174DC2">
        <w:t>requires that agencies establish a power usage effectiveness target in the range of 1.2-1.4 for new data centers and less than</w:t>
      </w:r>
      <w:r w:rsidR="001C0EA6">
        <w:t xml:space="preserve"> 1.5 for existing data centers.</w:t>
      </w:r>
    </w:p>
    <w:p w14:paraId="2984B210" w14:textId="4F4ACFFD" w:rsidR="00F80FD1" w:rsidRPr="007E4A68" w:rsidRDefault="00953039" w:rsidP="00E52A85">
      <w:pPr>
        <w:pStyle w:val="Heading3"/>
        <w:rPr>
          <w:b w:val="0"/>
          <w:i/>
        </w:rPr>
      </w:pPr>
      <w:bookmarkStart w:id="80" w:name="_Toc444272919"/>
      <w:r>
        <w:t>Electronics</w:t>
      </w:r>
      <w:r w:rsidR="00E52A85">
        <w:t xml:space="preserve"> Stewardship Strategies</w:t>
      </w:r>
      <w:bookmarkEnd w:id="80"/>
      <w:r w:rsidR="003B6468">
        <w:t xml:space="preserve"> for Fiscal Year 2018</w:t>
      </w:r>
    </w:p>
    <w:tbl>
      <w:tblPr>
        <w:tblW w:w="5000" w:type="pct"/>
        <w:tblLayout w:type="fixed"/>
        <w:tblCellMar>
          <w:left w:w="0" w:type="dxa"/>
          <w:right w:w="0" w:type="dxa"/>
        </w:tblCellMar>
        <w:tblLook w:val="01E0" w:firstRow="1" w:lastRow="1" w:firstColumn="1" w:lastColumn="1" w:noHBand="0" w:noVBand="0"/>
      </w:tblPr>
      <w:tblGrid>
        <w:gridCol w:w="2695"/>
        <w:gridCol w:w="3780"/>
        <w:gridCol w:w="3595"/>
      </w:tblGrid>
      <w:tr w:rsidR="007E4A68" w:rsidRPr="00EB49B5" w14:paraId="5B8C4744" w14:textId="77777777" w:rsidTr="00F76289">
        <w:trPr>
          <w:cantSplit/>
          <w:tblHeader/>
        </w:trPr>
        <w:tc>
          <w:tcPr>
            <w:tcW w:w="26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CB71BE" w14:textId="77777777" w:rsidR="007E4A68" w:rsidRPr="00EB49B5" w:rsidRDefault="007E4A68" w:rsidP="002E256D">
            <w:pPr>
              <w:pStyle w:val="Table"/>
              <w:jc w:val="center"/>
              <w:rPr>
                <w:b/>
              </w:rPr>
            </w:pPr>
            <w:r w:rsidRPr="00EB49B5">
              <w:rPr>
                <w:b/>
              </w:rPr>
              <w:t>Strategy</w:t>
            </w:r>
          </w:p>
        </w:tc>
        <w:tc>
          <w:tcPr>
            <w:tcW w:w="37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A7C5E5" w14:textId="77777777" w:rsidR="007E4A68" w:rsidRPr="00EB49B5" w:rsidRDefault="007E4A68" w:rsidP="002E256D">
            <w:pPr>
              <w:pStyle w:val="Table"/>
              <w:jc w:val="center"/>
              <w:rPr>
                <w:b/>
              </w:rPr>
            </w:pPr>
            <w:r>
              <w:rPr>
                <w:b/>
              </w:rPr>
              <w:t>Strategy Narrative</w:t>
            </w:r>
          </w:p>
        </w:tc>
        <w:tc>
          <w:tcPr>
            <w:tcW w:w="35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5FC16E" w14:textId="77777777" w:rsidR="007E4A68" w:rsidRPr="00EB49B5" w:rsidRDefault="007E4A68" w:rsidP="002E256D">
            <w:pPr>
              <w:pStyle w:val="Table"/>
              <w:jc w:val="center"/>
              <w:rPr>
                <w:b/>
              </w:rPr>
            </w:pPr>
            <w:r>
              <w:rPr>
                <w:b/>
              </w:rPr>
              <w:t>Targets and Metrics</w:t>
            </w:r>
          </w:p>
        </w:tc>
      </w:tr>
      <w:tr w:rsidR="000A2448" w:rsidRPr="00174DC2" w14:paraId="06F0F027" w14:textId="77777777" w:rsidTr="00F76289">
        <w:trPr>
          <w:cantSplit/>
        </w:trPr>
        <w:tc>
          <w:tcPr>
            <w:tcW w:w="2695" w:type="dxa"/>
            <w:tcBorders>
              <w:top w:val="single" w:sz="4" w:space="0" w:color="000000"/>
              <w:left w:val="single" w:sz="4" w:space="0" w:color="000000"/>
              <w:bottom w:val="single" w:sz="4" w:space="0" w:color="000000"/>
              <w:right w:val="single" w:sz="4" w:space="0" w:color="000000"/>
            </w:tcBorders>
          </w:tcPr>
          <w:p w14:paraId="2F96DF49" w14:textId="2A583CBA" w:rsidR="000A2448" w:rsidRPr="00174DC2" w:rsidRDefault="000A2448" w:rsidP="000A2448">
            <w:pPr>
              <w:pStyle w:val="Table"/>
            </w:pPr>
            <w:r>
              <w:t xml:space="preserve">Use government-wide category management vehicles to ensure procurement of equipment that meets sustainable electronics criteria. </w:t>
            </w:r>
          </w:p>
        </w:tc>
        <w:tc>
          <w:tcPr>
            <w:tcW w:w="3780" w:type="dxa"/>
            <w:tcBorders>
              <w:top w:val="single" w:sz="4" w:space="0" w:color="000000"/>
              <w:left w:val="single" w:sz="4" w:space="0" w:color="000000"/>
              <w:bottom w:val="single" w:sz="4" w:space="0" w:color="000000"/>
              <w:right w:val="single" w:sz="4" w:space="0" w:color="000000"/>
            </w:tcBorders>
          </w:tcPr>
          <w:p w14:paraId="18609BCD" w14:textId="7792C417" w:rsidR="000A2448" w:rsidRPr="00E375BF" w:rsidRDefault="000A2448" w:rsidP="000A2448">
            <w:pPr>
              <w:pStyle w:val="Table"/>
            </w:pPr>
            <w:r w:rsidRPr="00E375BF">
              <w:t xml:space="preserve">We directed agency contracting staff to adhere to Office of Management and Budget and Office of Federal Procurement Policy Category Management Policy Directive, 15-1, by adopting standardized laptop and desktop configurations, mandating purchases from existing vehicles, and adopting smarter business practices.  </w:t>
            </w:r>
          </w:p>
        </w:tc>
        <w:tc>
          <w:tcPr>
            <w:tcW w:w="3595" w:type="dxa"/>
            <w:tcBorders>
              <w:top w:val="single" w:sz="4" w:space="0" w:color="000000"/>
              <w:left w:val="single" w:sz="4" w:space="0" w:color="000000"/>
              <w:bottom w:val="single" w:sz="4" w:space="0" w:color="000000"/>
              <w:right w:val="single" w:sz="4" w:space="0" w:color="000000"/>
            </w:tcBorders>
          </w:tcPr>
          <w:p w14:paraId="5479A535" w14:textId="49035283" w:rsidR="000A2448" w:rsidRPr="00E375BF" w:rsidRDefault="000A2448" w:rsidP="000A2448">
            <w:pPr>
              <w:pStyle w:val="Table"/>
              <w:numPr>
                <w:ilvl w:val="0"/>
                <w:numId w:val="14"/>
              </w:numPr>
              <w:ind w:left="0" w:firstLine="0"/>
            </w:pPr>
            <w:r w:rsidRPr="00E375BF">
              <w:t>Update the Plan to include information technology category management policy when our new SSA commissioner is confirmed;</w:t>
            </w:r>
          </w:p>
          <w:p w14:paraId="59C3D006" w14:textId="39B00C25" w:rsidR="000A2448" w:rsidRPr="00E375BF" w:rsidRDefault="00830DAA" w:rsidP="000A2448">
            <w:pPr>
              <w:pStyle w:val="Table"/>
              <w:numPr>
                <w:ilvl w:val="0"/>
                <w:numId w:val="14"/>
              </w:numPr>
              <w:ind w:left="0" w:firstLine="0"/>
            </w:pPr>
            <w:r w:rsidRPr="00E375BF">
              <w:t>Announce u</w:t>
            </w:r>
            <w:r w:rsidR="000A2448" w:rsidRPr="00E375BF">
              <w:t>pdates to the Plan and</w:t>
            </w:r>
            <w:r w:rsidRPr="00E375BF">
              <w:t xml:space="preserve"> reintroduce</w:t>
            </w:r>
            <w:r w:rsidR="000A2448" w:rsidRPr="00E375BF">
              <w:t xml:space="preserve"> the Plan through targeted training upon revision;    </w:t>
            </w:r>
          </w:p>
          <w:p w14:paraId="481053FD" w14:textId="77777777" w:rsidR="000A2448" w:rsidRPr="00E375BF" w:rsidRDefault="000A2448" w:rsidP="000A2448">
            <w:pPr>
              <w:pStyle w:val="Table"/>
              <w:numPr>
                <w:ilvl w:val="0"/>
                <w:numId w:val="14"/>
              </w:numPr>
              <w:ind w:left="0" w:firstLine="0"/>
            </w:pPr>
            <w:r w:rsidRPr="00E375BF">
              <w:t>Continue to issue quarterly reminders; and</w:t>
            </w:r>
          </w:p>
          <w:p w14:paraId="3572FAA3" w14:textId="79827EC2" w:rsidR="000A2448" w:rsidRPr="00E375BF" w:rsidRDefault="00830DAA" w:rsidP="000A2448">
            <w:pPr>
              <w:pStyle w:val="Table"/>
              <w:numPr>
                <w:ilvl w:val="0"/>
                <w:numId w:val="14"/>
              </w:numPr>
              <w:ind w:left="0" w:firstLine="0"/>
            </w:pPr>
            <w:r w:rsidRPr="00E375BF">
              <w:t>Provide t</w:t>
            </w:r>
            <w:r w:rsidR="000A2448" w:rsidRPr="00E375BF">
              <w:t xml:space="preserve">argeted training. </w:t>
            </w:r>
          </w:p>
          <w:p w14:paraId="4D45B9AD" w14:textId="77777777" w:rsidR="000A2448" w:rsidRPr="00E375BF" w:rsidRDefault="000A2448" w:rsidP="000A2448">
            <w:pPr>
              <w:pStyle w:val="Table"/>
            </w:pPr>
          </w:p>
        </w:tc>
      </w:tr>
      <w:tr w:rsidR="000A2448" w:rsidRPr="00174DC2" w14:paraId="0ECE9850" w14:textId="77777777" w:rsidTr="00F76289">
        <w:trPr>
          <w:cantSplit/>
        </w:trPr>
        <w:tc>
          <w:tcPr>
            <w:tcW w:w="2695" w:type="dxa"/>
            <w:tcBorders>
              <w:top w:val="single" w:sz="4" w:space="0" w:color="000000"/>
              <w:left w:val="single" w:sz="4" w:space="0" w:color="000000"/>
              <w:bottom w:val="single" w:sz="4" w:space="0" w:color="000000"/>
              <w:right w:val="single" w:sz="4" w:space="0" w:color="000000"/>
            </w:tcBorders>
          </w:tcPr>
          <w:p w14:paraId="3B7AE25F" w14:textId="06737D5C" w:rsidR="000A2448" w:rsidRPr="00174DC2" w:rsidRDefault="000A2448" w:rsidP="000A2448">
            <w:pPr>
              <w:pStyle w:val="Table"/>
            </w:pPr>
            <w:r>
              <w:t xml:space="preserve">Enable and maintain power management </w:t>
            </w:r>
            <w:r w:rsidRPr="000F0508">
              <w:t xml:space="preserve">on all eligible </w:t>
            </w:r>
            <w:r>
              <w:t>electronics; measure and report compliance.</w:t>
            </w:r>
          </w:p>
        </w:tc>
        <w:tc>
          <w:tcPr>
            <w:tcW w:w="3780" w:type="dxa"/>
            <w:tcBorders>
              <w:top w:val="single" w:sz="4" w:space="0" w:color="000000"/>
              <w:left w:val="single" w:sz="4" w:space="0" w:color="000000"/>
              <w:bottom w:val="single" w:sz="4" w:space="0" w:color="000000"/>
              <w:right w:val="single" w:sz="4" w:space="0" w:color="000000"/>
            </w:tcBorders>
          </w:tcPr>
          <w:p w14:paraId="009C8020" w14:textId="3B125C7D" w:rsidR="000A2448" w:rsidRPr="00E375BF" w:rsidRDefault="00830DAA" w:rsidP="00830DAA">
            <w:pPr>
              <w:pStyle w:val="Table"/>
            </w:pPr>
            <w:r w:rsidRPr="00E375BF">
              <w:t xml:space="preserve">We </w:t>
            </w:r>
            <w:r w:rsidR="000A2448" w:rsidRPr="00E375BF">
              <w:t>scored green in all electronic stewardship areas, with at least 95 percent of purchased monitors and computers compliant with the Electronic Product Environmental Assessment Tool (EPEAT</w:t>
            </w:r>
            <w:r w:rsidRPr="00E375BF">
              <w:t>).</w:t>
            </w:r>
          </w:p>
        </w:tc>
        <w:tc>
          <w:tcPr>
            <w:tcW w:w="3595" w:type="dxa"/>
            <w:tcBorders>
              <w:top w:val="single" w:sz="4" w:space="0" w:color="000000"/>
              <w:left w:val="single" w:sz="4" w:space="0" w:color="000000"/>
              <w:bottom w:val="single" w:sz="4" w:space="0" w:color="000000"/>
              <w:right w:val="single" w:sz="4" w:space="0" w:color="000000"/>
            </w:tcBorders>
          </w:tcPr>
          <w:p w14:paraId="0EEC0027" w14:textId="68D5C99F" w:rsidR="000A2448" w:rsidRPr="00E375BF" w:rsidRDefault="00943D22" w:rsidP="000A2448">
            <w:pPr>
              <w:pStyle w:val="Table"/>
            </w:pPr>
            <w:r w:rsidRPr="00E375BF">
              <w:t>We</w:t>
            </w:r>
            <w:r w:rsidR="000A2448" w:rsidRPr="00E375BF">
              <w:t xml:space="preserve"> will continue to ensure that at least 99 percent of purchased desktop computers, laptops, and monitors are rated Silver or better by EPEAT, and that 100 percent are Energy Star or EPEAT-registered</w:t>
            </w:r>
            <w:r w:rsidRPr="00E375BF">
              <w:t xml:space="preserve"> and</w:t>
            </w:r>
            <w:r w:rsidR="000A2448" w:rsidRPr="00E375BF">
              <w:t xml:space="preserve"> will ensure compliance via quarterly green procurement compliance reviews. </w:t>
            </w:r>
          </w:p>
        </w:tc>
      </w:tr>
      <w:tr w:rsidR="000A2448" w:rsidRPr="00174DC2" w14:paraId="49F402F2" w14:textId="77777777" w:rsidTr="00F76289">
        <w:trPr>
          <w:cantSplit/>
        </w:trPr>
        <w:tc>
          <w:tcPr>
            <w:tcW w:w="2695" w:type="dxa"/>
            <w:tcBorders>
              <w:top w:val="single" w:sz="4" w:space="0" w:color="000000"/>
              <w:left w:val="single" w:sz="4" w:space="0" w:color="000000"/>
              <w:bottom w:val="single" w:sz="4" w:space="0" w:color="000000"/>
              <w:right w:val="single" w:sz="4" w:space="0" w:color="000000"/>
            </w:tcBorders>
          </w:tcPr>
          <w:p w14:paraId="6B9CB248" w14:textId="409285A3" w:rsidR="000A2448" w:rsidRDefault="000A2448" w:rsidP="000A2448">
            <w:pPr>
              <w:pStyle w:val="Table"/>
            </w:pPr>
            <w:r>
              <w:t xml:space="preserve">Implement automatic duplexing and other print management </w:t>
            </w:r>
            <w:r w:rsidRPr="000F0508">
              <w:t xml:space="preserve">features on all eligible agency </w:t>
            </w:r>
            <w:r>
              <w:t>computers and imaging equipment; measure and report compliance.</w:t>
            </w:r>
          </w:p>
        </w:tc>
        <w:tc>
          <w:tcPr>
            <w:tcW w:w="3780" w:type="dxa"/>
            <w:tcBorders>
              <w:top w:val="single" w:sz="4" w:space="0" w:color="000000"/>
              <w:left w:val="single" w:sz="4" w:space="0" w:color="000000"/>
              <w:bottom w:val="single" w:sz="4" w:space="0" w:color="000000"/>
              <w:right w:val="single" w:sz="4" w:space="0" w:color="000000"/>
            </w:tcBorders>
          </w:tcPr>
          <w:p w14:paraId="7560A846" w14:textId="6E29FBE3" w:rsidR="000A2448" w:rsidRPr="00E375BF" w:rsidRDefault="000A2448" w:rsidP="000A2448">
            <w:pPr>
              <w:pStyle w:val="Table"/>
            </w:pPr>
            <w:r w:rsidRPr="00E375BF">
              <w:t>Power management is enabled on all computers and monitors.</w:t>
            </w:r>
          </w:p>
        </w:tc>
        <w:tc>
          <w:tcPr>
            <w:tcW w:w="3595" w:type="dxa"/>
            <w:tcBorders>
              <w:top w:val="single" w:sz="4" w:space="0" w:color="000000"/>
              <w:left w:val="single" w:sz="4" w:space="0" w:color="000000"/>
              <w:bottom w:val="single" w:sz="4" w:space="0" w:color="000000"/>
              <w:right w:val="single" w:sz="4" w:space="0" w:color="000000"/>
            </w:tcBorders>
          </w:tcPr>
          <w:p w14:paraId="182476F3" w14:textId="3B337815" w:rsidR="000A2448" w:rsidRPr="00E375BF" w:rsidRDefault="000A2448" w:rsidP="000A2448">
            <w:pPr>
              <w:pStyle w:val="Table"/>
            </w:pPr>
            <w:r w:rsidRPr="00E375BF">
              <w:t>To ensure our continued use of power management features on all desktop and laptop computers, SIIMS will continue to use our comprehensive reporting and auditing compliance system.</w:t>
            </w:r>
          </w:p>
        </w:tc>
      </w:tr>
      <w:tr w:rsidR="000A2448" w:rsidRPr="00174DC2" w14:paraId="6E872095" w14:textId="77777777" w:rsidTr="00F76289">
        <w:trPr>
          <w:cantSplit/>
        </w:trPr>
        <w:tc>
          <w:tcPr>
            <w:tcW w:w="2695" w:type="dxa"/>
            <w:tcBorders>
              <w:top w:val="single" w:sz="4" w:space="0" w:color="000000"/>
              <w:left w:val="single" w:sz="4" w:space="0" w:color="000000"/>
              <w:bottom w:val="single" w:sz="4" w:space="0" w:color="000000"/>
              <w:right w:val="single" w:sz="4" w:space="0" w:color="000000"/>
            </w:tcBorders>
          </w:tcPr>
          <w:p w14:paraId="60407CEB" w14:textId="55E4F790" w:rsidR="000A2448" w:rsidRDefault="000A2448" w:rsidP="000A2448">
            <w:pPr>
              <w:pStyle w:val="Table"/>
            </w:pPr>
            <w:r>
              <w:t>Ensure environmentally sound disposition of all agency excess and surplus electronics, consistent with Federal policies on recycling &amp; disposal of electronic assets, and measure and report compliance.</w:t>
            </w:r>
          </w:p>
        </w:tc>
        <w:tc>
          <w:tcPr>
            <w:tcW w:w="3780" w:type="dxa"/>
            <w:tcBorders>
              <w:top w:val="single" w:sz="4" w:space="0" w:color="000000"/>
              <w:left w:val="single" w:sz="4" w:space="0" w:color="000000"/>
              <w:bottom w:val="single" w:sz="4" w:space="0" w:color="000000"/>
              <w:right w:val="single" w:sz="4" w:space="0" w:color="000000"/>
            </w:tcBorders>
          </w:tcPr>
          <w:p w14:paraId="272CB2AC" w14:textId="43737AEE" w:rsidR="000A2448" w:rsidRPr="00E375BF" w:rsidRDefault="000A2448" w:rsidP="000A2448">
            <w:pPr>
              <w:pStyle w:val="Table"/>
            </w:pPr>
            <w:r w:rsidRPr="00E375BF">
              <w:t>The Division of Property Management (DPM) continues to dispose of all end-life-electronics in accordance with GSA and FMR, through Computers for Learning (CFL), Direct Transfers to Federal Agencies, State Agency for Surplus Property (SASP), certified (R2 or e-steward) recyclers, and GSAXcess / GOV-Sales. DPM also manages a Memorandum of Understanding with the U</w:t>
            </w:r>
            <w:r w:rsidR="00830DAA" w:rsidRPr="00E375BF">
              <w:t>nited States Postal Service (U</w:t>
            </w:r>
            <w:r w:rsidRPr="00E375BF">
              <w:t>SPS</w:t>
            </w:r>
            <w:r w:rsidR="00830DAA" w:rsidRPr="00E375BF">
              <w:t>)</w:t>
            </w:r>
            <w:r w:rsidRPr="00E375BF">
              <w:t xml:space="preserve"> for disposing of qualified electronics in remote locations and a hard drive and portable device sanitization services contract to safeguard PII for SSA</w:t>
            </w:r>
            <w:r w:rsidR="00830DAA" w:rsidRPr="00E375BF">
              <w:t>.</w:t>
            </w:r>
          </w:p>
          <w:p w14:paraId="54D61D65" w14:textId="77777777" w:rsidR="000A2448" w:rsidRPr="00E375BF" w:rsidRDefault="000A2448" w:rsidP="000A2448">
            <w:pPr>
              <w:pStyle w:val="Table"/>
            </w:pPr>
          </w:p>
        </w:tc>
        <w:tc>
          <w:tcPr>
            <w:tcW w:w="3595" w:type="dxa"/>
            <w:tcBorders>
              <w:top w:val="single" w:sz="4" w:space="0" w:color="000000"/>
              <w:left w:val="single" w:sz="4" w:space="0" w:color="000000"/>
              <w:bottom w:val="single" w:sz="4" w:space="0" w:color="000000"/>
              <w:right w:val="single" w:sz="4" w:space="0" w:color="000000"/>
            </w:tcBorders>
          </w:tcPr>
          <w:p w14:paraId="3E63FD60" w14:textId="5289FC08" w:rsidR="000A2448" w:rsidRPr="00E375BF" w:rsidRDefault="00830DAA" w:rsidP="000A2448">
            <w:pPr>
              <w:pStyle w:val="Table"/>
            </w:pPr>
            <w:r w:rsidRPr="00E375BF">
              <w:t>DPM will continue to</w:t>
            </w:r>
            <w:r w:rsidR="000A2448" w:rsidRPr="00E375BF">
              <w:t xml:space="preserve"> establish and implement property management policies and guidance to SSA Property Management Officers and Custodial Officers nationwide to promote and continuously achieve environmentally sound disposition of 100 percent of agency excess electronic products</w:t>
            </w:r>
            <w:r w:rsidR="00F45D7B" w:rsidRPr="00E375BF">
              <w:t>.</w:t>
            </w:r>
          </w:p>
          <w:p w14:paraId="3532878E" w14:textId="04D0B60E" w:rsidR="000A2448" w:rsidRPr="00E375BF" w:rsidRDefault="000A2448" w:rsidP="000A2448">
            <w:pPr>
              <w:pStyle w:val="Table"/>
            </w:pPr>
          </w:p>
        </w:tc>
      </w:tr>
      <w:tr w:rsidR="000A2448" w:rsidRPr="00174DC2" w14:paraId="1B49EB72" w14:textId="77777777" w:rsidTr="00F76289">
        <w:trPr>
          <w:cantSplit/>
        </w:trPr>
        <w:tc>
          <w:tcPr>
            <w:tcW w:w="2695" w:type="dxa"/>
            <w:tcBorders>
              <w:top w:val="single" w:sz="4" w:space="0" w:color="000000"/>
              <w:left w:val="single" w:sz="4" w:space="0" w:color="000000"/>
              <w:bottom w:val="single" w:sz="4" w:space="0" w:color="000000"/>
              <w:right w:val="single" w:sz="4" w:space="0" w:color="000000"/>
            </w:tcBorders>
          </w:tcPr>
          <w:p w14:paraId="44F1567C" w14:textId="32DC9C3D" w:rsidR="000A2448" w:rsidRDefault="000A2448" w:rsidP="000A2448">
            <w:pPr>
              <w:pStyle w:val="Table"/>
            </w:pPr>
            <w:r>
              <w:t>Work with CIO counterparts to improve tracking and reporting systems for electronics stewardship requirements throughout lifecycle.</w:t>
            </w:r>
          </w:p>
        </w:tc>
        <w:tc>
          <w:tcPr>
            <w:tcW w:w="3780" w:type="dxa"/>
            <w:tcBorders>
              <w:top w:val="single" w:sz="4" w:space="0" w:color="000000"/>
              <w:left w:val="single" w:sz="4" w:space="0" w:color="000000"/>
              <w:bottom w:val="single" w:sz="4" w:space="0" w:color="000000"/>
              <w:right w:val="single" w:sz="4" w:space="0" w:color="000000"/>
            </w:tcBorders>
          </w:tcPr>
          <w:p w14:paraId="77244AC7" w14:textId="77777777" w:rsidR="000A2448" w:rsidRPr="00E375BF" w:rsidRDefault="000A2448" w:rsidP="000A2448">
            <w:pPr>
              <w:rPr>
                <w:sz w:val="22"/>
              </w:rPr>
            </w:pPr>
            <w:r w:rsidRPr="00E375BF">
              <w:rPr>
                <w:sz w:val="22"/>
              </w:rPr>
              <w:t>All end-of-life electronics disposed are through GSA Xcess, Computers for Learning (CFL), Unicor, or certified recyclers.</w:t>
            </w:r>
          </w:p>
          <w:p w14:paraId="1A18D8EC" w14:textId="77777777" w:rsidR="000A2448" w:rsidRPr="00E375BF" w:rsidRDefault="000A2448" w:rsidP="000A2448">
            <w:pPr>
              <w:pStyle w:val="Table"/>
            </w:pPr>
          </w:p>
        </w:tc>
        <w:tc>
          <w:tcPr>
            <w:tcW w:w="3595" w:type="dxa"/>
            <w:tcBorders>
              <w:top w:val="single" w:sz="4" w:space="0" w:color="000000"/>
              <w:left w:val="single" w:sz="4" w:space="0" w:color="000000"/>
              <w:bottom w:val="single" w:sz="4" w:space="0" w:color="000000"/>
              <w:right w:val="single" w:sz="4" w:space="0" w:color="000000"/>
            </w:tcBorders>
          </w:tcPr>
          <w:p w14:paraId="46468ADC" w14:textId="14118CC7" w:rsidR="000A2448" w:rsidRPr="00E375BF" w:rsidRDefault="000A2448" w:rsidP="000A2448">
            <w:pPr>
              <w:spacing w:after="0"/>
              <w:rPr>
                <w:sz w:val="22"/>
              </w:rPr>
            </w:pPr>
            <w:r w:rsidRPr="00E375BF">
              <w:rPr>
                <w:sz w:val="22"/>
              </w:rPr>
              <w:t>SIIMS ensures the environmentally sound disposal of all excess or surplus electronic products on an ongoing basis through the policies and procedures, which only allow disposition through GSA Xcess, CFL, Unicor, or a certified recycler. </w:t>
            </w:r>
          </w:p>
        </w:tc>
      </w:tr>
    </w:tbl>
    <w:p w14:paraId="70E5E40F" w14:textId="591F62F0" w:rsidR="007567A3" w:rsidRPr="007E4A68" w:rsidRDefault="007567A3" w:rsidP="007567A3">
      <w:pPr>
        <w:pStyle w:val="Heading3"/>
        <w:rPr>
          <w:b w:val="0"/>
          <w:i/>
        </w:rPr>
      </w:pPr>
      <w:bookmarkStart w:id="81" w:name="_Toc444272920"/>
      <w:bookmarkStart w:id="82" w:name="_Toc441069306"/>
      <w:r>
        <w:t xml:space="preserve">Data Center </w:t>
      </w:r>
      <w:r w:rsidR="00745F02">
        <w:t xml:space="preserve">Optimization </w:t>
      </w:r>
      <w:r>
        <w:t>Strategies</w:t>
      </w:r>
      <w:bookmarkEnd w:id="81"/>
      <w:r w:rsidR="003B6468">
        <w:t xml:space="preserve"> for Fiscal Year 2018</w:t>
      </w:r>
      <w:r w:rsidR="00B32BCC">
        <w:t xml:space="preserve"> </w:t>
      </w:r>
    </w:p>
    <w:tbl>
      <w:tblPr>
        <w:tblW w:w="4958" w:type="pct"/>
        <w:tblLayout w:type="fixed"/>
        <w:tblCellMar>
          <w:left w:w="0" w:type="dxa"/>
          <w:right w:w="0" w:type="dxa"/>
        </w:tblCellMar>
        <w:tblLook w:val="01E0" w:firstRow="1" w:lastRow="1" w:firstColumn="1" w:lastColumn="1" w:noHBand="0" w:noVBand="0"/>
      </w:tblPr>
      <w:tblGrid>
        <w:gridCol w:w="2155"/>
        <w:gridCol w:w="4050"/>
        <w:gridCol w:w="3780"/>
      </w:tblGrid>
      <w:tr w:rsidR="007E4A68" w:rsidRPr="00EB49B5" w14:paraId="481B0C6A" w14:textId="77777777" w:rsidTr="00F45D7B">
        <w:trPr>
          <w:cantSplit/>
          <w:tblHeader/>
        </w:trPr>
        <w:tc>
          <w:tcPr>
            <w:tcW w:w="21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6B0724" w14:textId="77777777" w:rsidR="007E4A68" w:rsidRPr="00EB49B5" w:rsidRDefault="007E4A68" w:rsidP="0041763D">
            <w:pPr>
              <w:pStyle w:val="Table"/>
              <w:jc w:val="center"/>
              <w:rPr>
                <w:b/>
              </w:rPr>
            </w:pPr>
            <w:r w:rsidRPr="00EB49B5">
              <w:rPr>
                <w:b/>
              </w:rPr>
              <w:t>Strategy</w:t>
            </w:r>
          </w:p>
        </w:tc>
        <w:tc>
          <w:tcPr>
            <w:tcW w:w="40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133241" w14:textId="77777777" w:rsidR="007E4A68" w:rsidRPr="00EB49B5" w:rsidRDefault="007E4A68" w:rsidP="0041763D">
            <w:pPr>
              <w:pStyle w:val="Table"/>
              <w:jc w:val="center"/>
              <w:rPr>
                <w:b/>
              </w:rPr>
            </w:pPr>
            <w:r>
              <w:rPr>
                <w:b/>
              </w:rPr>
              <w:t>Strategy Narrative</w:t>
            </w:r>
          </w:p>
        </w:tc>
        <w:tc>
          <w:tcPr>
            <w:tcW w:w="37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7BC401" w14:textId="77777777" w:rsidR="007E4A68" w:rsidRPr="00EB49B5" w:rsidRDefault="007E4A68" w:rsidP="0041763D">
            <w:pPr>
              <w:pStyle w:val="Table"/>
              <w:jc w:val="center"/>
              <w:rPr>
                <w:b/>
              </w:rPr>
            </w:pPr>
            <w:r>
              <w:rPr>
                <w:b/>
              </w:rPr>
              <w:t>Targets and Metrics</w:t>
            </w:r>
          </w:p>
        </w:tc>
      </w:tr>
      <w:tr w:rsidR="000A2448" w:rsidRPr="00174DC2" w14:paraId="1C1CB1D4" w14:textId="77777777" w:rsidTr="00F45D7B">
        <w:trPr>
          <w:cantSplit/>
        </w:trPr>
        <w:tc>
          <w:tcPr>
            <w:tcW w:w="2155" w:type="dxa"/>
            <w:tcBorders>
              <w:top w:val="single" w:sz="4" w:space="0" w:color="000000"/>
              <w:left w:val="single" w:sz="4" w:space="0" w:color="000000"/>
              <w:bottom w:val="single" w:sz="4" w:space="0" w:color="000000"/>
              <w:right w:val="single" w:sz="4" w:space="0" w:color="000000"/>
            </w:tcBorders>
          </w:tcPr>
          <w:p w14:paraId="50B8253C" w14:textId="77777777" w:rsidR="000A2448" w:rsidRPr="00174DC2" w:rsidDel="00A73F62" w:rsidRDefault="000A2448" w:rsidP="000A2448">
            <w:pPr>
              <w:pStyle w:val="Table"/>
            </w:pPr>
            <w:r>
              <w:t>Develop, issue and implement policies, procedures and guidance for data center energy optimization, efficiency, and performance.</w:t>
            </w:r>
          </w:p>
        </w:tc>
        <w:tc>
          <w:tcPr>
            <w:tcW w:w="4050" w:type="dxa"/>
            <w:tcBorders>
              <w:top w:val="single" w:sz="4" w:space="0" w:color="000000"/>
              <w:left w:val="single" w:sz="4" w:space="0" w:color="000000"/>
              <w:bottom w:val="single" w:sz="4" w:space="0" w:color="000000"/>
              <w:right w:val="single" w:sz="4" w:space="0" w:color="000000"/>
            </w:tcBorders>
          </w:tcPr>
          <w:p w14:paraId="1F0F84F3" w14:textId="665CF727" w:rsidR="000A2448" w:rsidRPr="00E375BF" w:rsidRDefault="00E375BF" w:rsidP="00783883">
            <w:pPr>
              <w:pStyle w:val="Table"/>
            </w:pPr>
            <w:r>
              <w:t>SSA is c</w:t>
            </w:r>
            <w:r w:rsidR="000A2448" w:rsidRPr="00E375BF">
              <w:t xml:space="preserve">urrently developing a Data Center Optimization Management (DCOM) strategy that conforms to current </w:t>
            </w:r>
            <w:r w:rsidR="00783883" w:rsidRPr="00E375BF">
              <w:rPr>
                <w:rStyle w:val="tgc"/>
                <w:rFonts w:cs="Times New Roman"/>
                <w:sz w:val="24"/>
                <w:lang w:val="en"/>
              </w:rPr>
              <w:t>Federal IT Acquisition Reform Act</w:t>
            </w:r>
            <w:r w:rsidR="00783883" w:rsidRPr="00E375BF">
              <w:rPr>
                <w:sz w:val="24"/>
              </w:rPr>
              <w:t xml:space="preserve"> </w:t>
            </w:r>
            <w:r w:rsidR="00783883" w:rsidRPr="00E375BF">
              <w:t xml:space="preserve">/Data Center Optimization Initiative </w:t>
            </w:r>
            <w:r w:rsidR="000A2448" w:rsidRPr="00E375BF">
              <w:t>requirements.</w:t>
            </w:r>
          </w:p>
        </w:tc>
        <w:tc>
          <w:tcPr>
            <w:tcW w:w="3780" w:type="dxa"/>
            <w:tcBorders>
              <w:top w:val="single" w:sz="4" w:space="0" w:color="000000"/>
              <w:left w:val="single" w:sz="4" w:space="0" w:color="000000"/>
              <w:bottom w:val="single" w:sz="4" w:space="0" w:color="000000"/>
              <w:right w:val="single" w:sz="4" w:space="0" w:color="000000"/>
            </w:tcBorders>
          </w:tcPr>
          <w:p w14:paraId="369F6542" w14:textId="463C9173" w:rsidR="000A2448" w:rsidRPr="00E375BF" w:rsidRDefault="000A2448" w:rsidP="000A2448">
            <w:pPr>
              <w:pStyle w:val="Table"/>
              <w:rPr>
                <w:rStyle w:val="Strong"/>
                <w:rFonts w:ascii="Merriweather" w:hAnsi="Merriweather"/>
                <w:b w:val="0"/>
              </w:rPr>
            </w:pPr>
            <w:r w:rsidRPr="00E375BF">
              <w:rPr>
                <w:rStyle w:val="Strong"/>
                <w:rFonts w:ascii="Merriweather" w:hAnsi="Merriweather"/>
                <w:b w:val="0"/>
              </w:rPr>
              <w:t>-</w:t>
            </w:r>
            <w:r w:rsidR="00F45D7B" w:rsidRPr="00E375BF">
              <w:rPr>
                <w:rStyle w:val="Strong"/>
                <w:rFonts w:ascii="Merriweather" w:hAnsi="Merriweather"/>
                <w:b w:val="0"/>
              </w:rPr>
              <w:t xml:space="preserve"> </w:t>
            </w:r>
            <w:r w:rsidRPr="00E375BF">
              <w:rPr>
                <w:rStyle w:val="Strong"/>
                <w:rFonts w:ascii="Merriweather" w:hAnsi="Merriweather"/>
                <w:b w:val="0"/>
              </w:rPr>
              <w:t>Energy Metering 100</w:t>
            </w:r>
            <w:r w:rsidR="00201DD0" w:rsidRPr="00E375BF">
              <w:rPr>
                <w:rStyle w:val="Strong"/>
                <w:rFonts w:ascii="Merriweather" w:hAnsi="Merriweather"/>
                <w:b w:val="0"/>
              </w:rPr>
              <w:t xml:space="preserve"> percent</w:t>
            </w:r>
          </w:p>
          <w:p w14:paraId="1BFC57BD" w14:textId="33617681" w:rsidR="000A2448" w:rsidRPr="00E375BF" w:rsidRDefault="000A2448" w:rsidP="000A2448">
            <w:pPr>
              <w:pStyle w:val="Table"/>
              <w:rPr>
                <w:rStyle w:val="Strong"/>
                <w:rFonts w:ascii="Merriweather" w:hAnsi="Merriweather"/>
                <w:b w:val="0"/>
              </w:rPr>
            </w:pPr>
            <w:r w:rsidRPr="00E375BF">
              <w:rPr>
                <w:rStyle w:val="Strong"/>
                <w:rFonts w:ascii="Merriweather" w:hAnsi="Merriweather"/>
                <w:b w:val="0"/>
              </w:rPr>
              <w:t>-</w:t>
            </w:r>
            <w:r w:rsidR="00F45D7B" w:rsidRPr="00E375BF">
              <w:rPr>
                <w:rStyle w:val="Strong"/>
                <w:rFonts w:ascii="Merriweather" w:hAnsi="Merriweather"/>
                <w:b w:val="0"/>
              </w:rPr>
              <w:t xml:space="preserve"> </w:t>
            </w:r>
            <w:r w:rsidRPr="00E375BF">
              <w:rPr>
                <w:rStyle w:val="Strong"/>
                <w:rFonts w:ascii="Merriweather" w:hAnsi="Merriweather"/>
                <w:b w:val="0"/>
              </w:rPr>
              <w:t xml:space="preserve">PUE  </w:t>
            </w:r>
            <w:r w:rsidRPr="00E375BF">
              <w:rPr>
                <w:rFonts w:ascii="Merriweather" w:hAnsi="Merriweather"/>
              </w:rPr>
              <w:t>≤</w:t>
            </w:r>
            <w:r w:rsidRPr="00E375BF">
              <w:rPr>
                <w:rFonts w:ascii="Merriweather" w:hAnsi="Merriweather"/>
                <w:b/>
              </w:rPr>
              <w:t xml:space="preserve"> </w:t>
            </w:r>
            <w:r w:rsidRPr="00E375BF">
              <w:rPr>
                <w:rStyle w:val="Strong"/>
                <w:rFonts w:ascii="Merriweather" w:hAnsi="Merriweather"/>
                <w:b w:val="0"/>
              </w:rPr>
              <w:t>1.4</w:t>
            </w:r>
          </w:p>
          <w:p w14:paraId="3ABEC16E" w14:textId="2D8A040A" w:rsidR="000A2448" w:rsidRPr="00E375BF" w:rsidRDefault="000A2448" w:rsidP="000A2448">
            <w:pPr>
              <w:pStyle w:val="Table"/>
              <w:rPr>
                <w:rFonts w:ascii="Merriweather" w:hAnsi="Merriweather"/>
              </w:rPr>
            </w:pPr>
            <w:r w:rsidRPr="00E375BF">
              <w:rPr>
                <w:rStyle w:val="Strong"/>
                <w:rFonts w:ascii="Merriweather" w:hAnsi="Merriweather"/>
                <w:b w:val="0"/>
              </w:rPr>
              <w:t>-</w:t>
            </w:r>
            <w:r w:rsidR="00F45D7B" w:rsidRPr="00E375BF">
              <w:rPr>
                <w:rStyle w:val="Strong"/>
                <w:rFonts w:ascii="Merriweather" w:hAnsi="Merriweather"/>
                <w:b w:val="0"/>
              </w:rPr>
              <w:t xml:space="preserve"> </w:t>
            </w:r>
            <w:r w:rsidRPr="00E375BF">
              <w:rPr>
                <w:rStyle w:val="Strong"/>
                <w:rFonts w:ascii="Merriweather" w:hAnsi="Merriweather"/>
                <w:b w:val="0"/>
              </w:rPr>
              <w:t xml:space="preserve">Virtualization  </w:t>
            </w:r>
            <w:r w:rsidRPr="00E375BF">
              <w:rPr>
                <w:rFonts w:ascii="Merriweather" w:hAnsi="Merriweather"/>
              </w:rPr>
              <w:t>≥ 4</w:t>
            </w:r>
          </w:p>
          <w:p w14:paraId="430F75A6" w14:textId="5444EE42" w:rsidR="000A2448" w:rsidRPr="00E375BF" w:rsidRDefault="000A2448" w:rsidP="000A2448">
            <w:pPr>
              <w:pStyle w:val="Table"/>
              <w:rPr>
                <w:rFonts w:ascii="Merriweather" w:hAnsi="Merriweather"/>
              </w:rPr>
            </w:pPr>
            <w:r w:rsidRPr="00E375BF">
              <w:t>-</w:t>
            </w:r>
            <w:r w:rsidR="00F45D7B" w:rsidRPr="00E375BF">
              <w:t xml:space="preserve"> </w:t>
            </w:r>
            <w:r w:rsidRPr="00E375BF">
              <w:t xml:space="preserve">Server Utilization &amp; Automated Monitoring  </w:t>
            </w:r>
            <w:r w:rsidRPr="00E375BF">
              <w:rPr>
                <w:rFonts w:ascii="Merriweather" w:hAnsi="Merriweather"/>
              </w:rPr>
              <w:t>≥ 65</w:t>
            </w:r>
            <w:r w:rsidR="00201DD0" w:rsidRPr="00E375BF">
              <w:rPr>
                <w:rFonts w:ascii="Merriweather" w:hAnsi="Merriweather"/>
              </w:rPr>
              <w:t xml:space="preserve"> </w:t>
            </w:r>
            <w:r w:rsidR="00201DD0" w:rsidRPr="00E375BF">
              <w:rPr>
                <w:rStyle w:val="Strong"/>
                <w:rFonts w:ascii="Merriweather" w:hAnsi="Merriweather"/>
                <w:b w:val="0"/>
              </w:rPr>
              <w:t>percent</w:t>
            </w:r>
          </w:p>
          <w:p w14:paraId="316C2037" w14:textId="3EC3FE30" w:rsidR="000A2448" w:rsidRPr="00E375BF" w:rsidRDefault="00F45D7B" w:rsidP="00201DD0">
            <w:pPr>
              <w:pStyle w:val="Table"/>
            </w:pPr>
            <w:r w:rsidRPr="00E375BF">
              <w:t xml:space="preserve">- </w:t>
            </w:r>
            <w:r w:rsidR="000A2448" w:rsidRPr="00E375BF">
              <w:t xml:space="preserve">Facility Utilization  </w:t>
            </w:r>
            <w:r w:rsidR="000A2448" w:rsidRPr="00E375BF">
              <w:rPr>
                <w:rFonts w:ascii="Merriweather" w:hAnsi="Merriweather"/>
              </w:rPr>
              <w:t>≥ 80</w:t>
            </w:r>
            <w:r w:rsidR="00201DD0" w:rsidRPr="00E375BF">
              <w:rPr>
                <w:rFonts w:ascii="Merriweather" w:hAnsi="Merriweather"/>
              </w:rPr>
              <w:t xml:space="preserve"> </w:t>
            </w:r>
            <w:r w:rsidR="00201DD0" w:rsidRPr="00E375BF">
              <w:rPr>
                <w:rStyle w:val="Strong"/>
                <w:rFonts w:ascii="Merriweather" w:hAnsi="Merriweather"/>
                <w:b w:val="0"/>
              </w:rPr>
              <w:t>percent</w:t>
            </w:r>
          </w:p>
        </w:tc>
      </w:tr>
      <w:tr w:rsidR="000A2448" w:rsidRPr="00174DC2" w14:paraId="298B357B" w14:textId="77777777" w:rsidTr="00F45D7B">
        <w:trPr>
          <w:cantSplit/>
        </w:trPr>
        <w:tc>
          <w:tcPr>
            <w:tcW w:w="2155" w:type="dxa"/>
            <w:tcBorders>
              <w:top w:val="single" w:sz="4" w:space="0" w:color="000000"/>
              <w:left w:val="single" w:sz="4" w:space="0" w:color="000000"/>
              <w:bottom w:val="single" w:sz="4" w:space="0" w:color="000000"/>
              <w:right w:val="single" w:sz="4" w:space="0" w:color="000000"/>
            </w:tcBorders>
          </w:tcPr>
          <w:p w14:paraId="21998F66" w14:textId="77777777" w:rsidR="000A2448" w:rsidRPr="00174DC2" w:rsidRDefault="000A2448" w:rsidP="000A2448">
            <w:pPr>
              <w:pStyle w:val="Table"/>
            </w:pPr>
            <w:r>
              <w:t>Minimize total cost of ownership in data center and cloud computing operations.</w:t>
            </w:r>
          </w:p>
        </w:tc>
        <w:tc>
          <w:tcPr>
            <w:tcW w:w="4050" w:type="dxa"/>
            <w:tcBorders>
              <w:top w:val="single" w:sz="4" w:space="0" w:color="000000"/>
              <w:left w:val="single" w:sz="4" w:space="0" w:color="000000"/>
              <w:bottom w:val="single" w:sz="4" w:space="0" w:color="000000"/>
              <w:right w:val="single" w:sz="4" w:space="0" w:color="000000"/>
            </w:tcBorders>
          </w:tcPr>
          <w:p w14:paraId="102DBFAC" w14:textId="0E5F47D8" w:rsidR="000A2448" w:rsidRPr="00E375BF" w:rsidRDefault="000A2448" w:rsidP="000A2448">
            <w:pPr>
              <w:pStyle w:val="Table"/>
            </w:pPr>
            <w:r w:rsidRPr="00E375BF">
              <w:t>By continuing to consolidate, virtualize</w:t>
            </w:r>
            <w:r w:rsidR="00783883" w:rsidRPr="00E375BF">
              <w:t>,</w:t>
            </w:r>
            <w:r w:rsidRPr="00E375BF">
              <w:t xml:space="preserve"> and offer cloud services</w:t>
            </w:r>
            <w:r w:rsidR="00783883" w:rsidRPr="00E375BF">
              <w:t>,</w:t>
            </w:r>
            <w:r w:rsidRPr="00E375BF">
              <w:t xml:space="preserve"> both internally and externally</w:t>
            </w:r>
            <w:r w:rsidR="00783883" w:rsidRPr="00E375BF">
              <w:t>,</w:t>
            </w:r>
            <w:r w:rsidRPr="00E375BF">
              <w:t xml:space="preserve"> we aim to maximize our data center energy efficiencies.  The more equipment and digital services we can offer</w:t>
            </w:r>
            <w:r w:rsidR="00783883" w:rsidRPr="00E375BF">
              <w:t>,</w:t>
            </w:r>
            <w:r w:rsidRPr="00E375BF">
              <w:t xml:space="preserve"> the more efficiently the energy systems will operate generating energy savings and carbon neutral operations.</w:t>
            </w:r>
          </w:p>
        </w:tc>
        <w:tc>
          <w:tcPr>
            <w:tcW w:w="3780" w:type="dxa"/>
            <w:tcBorders>
              <w:top w:val="single" w:sz="4" w:space="0" w:color="000000"/>
              <w:left w:val="single" w:sz="4" w:space="0" w:color="000000"/>
              <w:bottom w:val="single" w:sz="4" w:space="0" w:color="000000"/>
              <w:right w:val="single" w:sz="4" w:space="0" w:color="000000"/>
            </w:tcBorders>
          </w:tcPr>
          <w:p w14:paraId="461EE02F" w14:textId="2F6C71AC" w:rsidR="000A2448" w:rsidRPr="00E375BF" w:rsidRDefault="000A2448" w:rsidP="000A2448">
            <w:pPr>
              <w:pStyle w:val="Table"/>
            </w:pPr>
            <w:r w:rsidRPr="00E375BF">
              <w:t xml:space="preserve">We are actively engaged in developing internal and external cloud services.  We are developing chargeback and showback reporting that will allow us to better manage our IT and electrical consumption.  The ultimate goal is to offer cloud services to other Federal Departments and </w:t>
            </w:r>
            <w:r w:rsidR="00783883" w:rsidRPr="00E375BF">
              <w:t>a</w:t>
            </w:r>
            <w:r w:rsidRPr="00E375BF">
              <w:t>gencies</w:t>
            </w:r>
            <w:r w:rsidR="00783883" w:rsidRPr="00E375BF">
              <w:t>,</w:t>
            </w:r>
            <w:r w:rsidRPr="00E375BF">
              <w:t xml:space="preserve"> which will further allow us to maximize data center space and optimize energy consumption.</w:t>
            </w:r>
          </w:p>
        </w:tc>
      </w:tr>
      <w:tr w:rsidR="000A2448" w:rsidRPr="00174DC2" w14:paraId="3ECB0D8C" w14:textId="77777777" w:rsidTr="00F45D7B">
        <w:trPr>
          <w:cantSplit/>
        </w:trPr>
        <w:tc>
          <w:tcPr>
            <w:tcW w:w="2155" w:type="dxa"/>
            <w:tcBorders>
              <w:top w:val="single" w:sz="4" w:space="0" w:color="000000"/>
              <w:left w:val="single" w:sz="4" w:space="0" w:color="000000"/>
              <w:bottom w:val="single" w:sz="4" w:space="0" w:color="000000"/>
              <w:right w:val="single" w:sz="4" w:space="0" w:color="000000"/>
            </w:tcBorders>
          </w:tcPr>
          <w:p w14:paraId="1D4A4348" w14:textId="77777777" w:rsidR="000A2448" w:rsidRDefault="000A2448" w:rsidP="000A2448">
            <w:pPr>
              <w:pStyle w:val="Table"/>
            </w:pPr>
            <w:r w:rsidRPr="00174DC2">
              <w:t>Improve data center temperature and air</w:t>
            </w:r>
            <w:r>
              <w:t xml:space="preserve">-flow management to capture energy savings. </w:t>
            </w:r>
          </w:p>
        </w:tc>
        <w:tc>
          <w:tcPr>
            <w:tcW w:w="4050" w:type="dxa"/>
            <w:tcBorders>
              <w:top w:val="single" w:sz="4" w:space="0" w:color="000000"/>
              <w:left w:val="single" w:sz="4" w:space="0" w:color="000000"/>
              <w:bottom w:val="single" w:sz="4" w:space="0" w:color="000000"/>
              <w:right w:val="single" w:sz="4" w:space="0" w:color="000000"/>
            </w:tcBorders>
          </w:tcPr>
          <w:p w14:paraId="415FA13C" w14:textId="31C0D5C1" w:rsidR="000A2448" w:rsidRPr="00E375BF" w:rsidRDefault="000A2448" w:rsidP="004A4CA2">
            <w:pPr>
              <w:pStyle w:val="Table"/>
            </w:pPr>
            <w:r w:rsidRPr="00E375BF">
              <w:t xml:space="preserve">As </w:t>
            </w:r>
            <w:r w:rsidR="004A4CA2" w:rsidRPr="00E375BF">
              <w:t>our Office of Systems</w:t>
            </w:r>
            <w:r w:rsidRPr="00E375BF">
              <w:t xml:space="preserve"> increase</w:t>
            </w:r>
            <w:r w:rsidR="004A4CA2" w:rsidRPr="00E375BF">
              <w:t>s</w:t>
            </w:r>
            <w:r w:rsidRPr="00E375BF">
              <w:t xml:space="preserve"> the amount of hardware and processing in the data center</w:t>
            </w:r>
            <w:r w:rsidR="00783883" w:rsidRPr="00E375BF">
              <w:t>,</w:t>
            </w:r>
            <w:r w:rsidRPr="00E375BF">
              <w:t xml:space="preserve"> </w:t>
            </w:r>
            <w:r w:rsidR="004A4CA2" w:rsidRPr="00E375BF">
              <w:t>they</w:t>
            </w:r>
            <w:r w:rsidRPr="00E375BF">
              <w:t xml:space="preserve"> will work with </w:t>
            </w:r>
            <w:r w:rsidR="004A4CA2" w:rsidRPr="00E375BF">
              <w:t>the Office of F</w:t>
            </w:r>
            <w:r w:rsidRPr="00E375BF">
              <w:t>acilities</w:t>
            </w:r>
            <w:r w:rsidR="004A4CA2" w:rsidRPr="00E375BF">
              <w:t xml:space="preserve"> and Logistics Management</w:t>
            </w:r>
            <w:r w:rsidRPr="00E375BF">
              <w:t xml:space="preserve"> to optimize air-flow management by increasing inlet temperatures and maturing our convergent monitoring capabilities.</w:t>
            </w:r>
          </w:p>
        </w:tc>
        <w:tc>
          <w:tcPr>
            <w:tcW w:w="3780" w:type="dxa"/>
            <w:tcBorders>
              <w:top w:val="single" w:sz="4" w:space="0" w:color="000000"/>
              <w:left w:val="single" w:sz="4" w:space="0" w:color="000000"/>
              <w:bottom w:val="single" w:sz="4" w:space="0" w:color="000000"/>
              <w:right w:val="single" w:sz="4" w:space="0" w:color="000000"/>
            </w:tcBorders>
          </w:tcPr>
          <w:p w14:paraId="0CB96101" w14:textId="1E81770E" w:rsidR="000A2448" w:rsidRPr="00E375BF" w:rsidRDefault="000A2448" w:rsidP="000A2448">
            <w:pPr>
              <w:pStyle w:val="Table"/>
            </w:pPr>
            <w:r w:rsidRPr="00E375BF">
              <w:t>We hope to increase inlet temperatures up to ASHRAE suggested optimal ranges ~78° as well as reducing our PUE as much as possible.  Our aim is 1.4 or better.</w:t>
            </w:r>
          </w:p>
        </w:tc>
      </w:tr>
      <w:tr w:rsidR="000A2448" w:rsidRPr="00174DC2" w14:paraId="2FBF95A6" w14:textId="77777777" w:rsidTr="00F45D7B">
        <w:trPr>
          <w:cantSplit/>
        </w:trPr>
        <w:tc>
          <w:tcPr>
            <w:tcW w:w="2155" w:type="dxa"/>
            <w:tcBorders>
              <w:top w:val="single" w:sz="4" w:space="0" w:color="000000"/>
              <w:left w:val="single" w:sz="4" w:space="0" w:color="000000"/>
              <w:bottom w:val="single" w:sz="4" w:space="0" w:color="000000"/>
              <w:right w:val="single" w:sz="4" w:space="0" w:color="000000"/>
            </w:tcBorders>
          </w:tcPr>
          <w:p w14:paraId="0ED397D1" w14:textId="77777777" w:rsidR="000A2448" w:rsidRPr="00174DC2" w:rsidRDefault="000A2448" w:rsidP="000A2448">
            <w:pPr>
              <w:pStyle w:val="Table"/>
            </w:pPr>
            <w:r>
              <w:t>Assign certified Data Center Energy Practitioner(s) to manage core data center(s).</w:t>
            </w:r>
          </w:p>
        </w:tc>
        <w:tc>
          <w:tcPr>
            <w:tcW w:w="4050" w:type="dxa"/>
            <w:tcBorders>
              <w:top w:val="single" w:sz="4" w:space="0" w:color="000000"/>
              <w:left w:val="single" w:sz="4" w:space="0" w:color="000000"/>
              <w:bottom w:val="single" w:sz="4" w:space="0" w:color="000000"/>
              <w:right w:val="single" w:sz="4" w:space="0" w:color="000000"/>
            </w:tcBorders>
          </w:tcPr>
          <w:p w14:paraId="083ACCA9" w14:textId="0DE968CC" w:rsidR="000A2448" w:rsidRPr="00E375BF" w:rsidRDefault="000A2448" w:rsidP="00872312">
            <w:pPr>
              <w:pStyle w:val="Table"/>
            </w:pPr>
            <w:r w:rsidRPr="00E375BF">
              <w:t xml:space="preserve">Continue with our </w:t>
            </w:r>
            <w:r w:rsidR="00872312" w:rsidRPr="00E375BF">
              <w:t xml:space="preserve">Data Center Optimization Management (DCOM) </w:t>
            </w:r>
            <w:r w:rsidRPr="00E375BF">
              <w:t>strategy that relies on Systems, Facilities and Security to manage and monitor holistically our data center operations.</w:t>
            </w:r>
          </w:p>
        </w:tc>
        <w:tc>
          <w:tcPr>
            <w:tcW w:w="3780" w:type="dxa"/>
            <w:tcBorders>
              <w:top w:val="single" w:sz="4" w:space="0" w:color="000000"/>
              <w:left w:val="single" w:sz="4" w:space="0" w:color="000000"/>
              <w:bottom w:val="single" w:sz="4" w:space="0" w:color="000000"/>
              <w:right w:val="single" w:sz="4" w:space="0" w:color="000000"/>
            </w:tcBorders>
          </w:tcPr>
          <w:p w14:paraId="52CA2378" w14:textId="73549098" w:rsidR="000A2448" w:rsidRPr="00E375BF" w:rsidRDefault="000A2448" w:rsidP="000A2448">
            <w:pPr>
              <w:pStyle w:val="Table"/>
            </w:pPr>
            <w:r w:rsidRPr="00E375BF">
              <w:t>Continue with our regular DCOM meetings that is a collaborative effort with Systems, Facilities and Security.  The goal is to achieve the above mentioned metrics.</w:t>
            </w:r>
          </w:p>
        </w:tc>
      </w:tr>
    </w:tbl>
    <w:p w14:paraId="63DCE016" w14:textId="77777777" w:rsidR="007567A3" w:rsidRDefault="007567A3" w:rsidP="007567A3"/>
    <w:p w14:paraId="4957F110" w14:textId="77777777" w:rsidR="007567A3" w:rsidRDefault="007567A3">
      <w:pPr>
        <w:widowControl w:val="0"/>
        <w:spacing w:after="200" w:line="276" w:lineRule="auto"/>
        <w:rPr>
          <w:b/>
          <w:sz w:val="28"/>
          <w:szCs w:val="36"/>
        </w:rPr>
      </w:pPr>
    </w:p>
    <w:p w14:paraId="2E1B5302" w14:textId="77777777" w:rsidR="001C0EA6" w:rsidRDefault="001C0EA6">
      <w:pPr>
        <w:widowControl w:val="0"/>
        <w:spacing w:after="200" w:line="276" w:lineRule="auto"/>
        <w:rPr>
          <w:b/>
          <w:sz w:val="28"/>
          <w:szCs w:val="36"/>
        </w:rPr>
      </w:pPr>
      <w:r>
        <w:br w:type="page"/>
      </w:r>
    </w:p>
    <w:p w14:paraId="38343754" w14:textId="1EE21C30" w:rsidR="00E85CF1" w:rsidRDefault="00E85CF1" w:rsidP="00C47C7F">
      <w:pPr>
        <w:pStyle w:val="Heading2"/>
      </w:pPr>
      <w:bookmarkStart w:id="83" w:name="_Toc486579605"/>
      <w:r>
        <w:t xml:space="preserve">Goal 10: Climate Change </w:t>
      </w:r>
      <w:r w:rsidR="007C43F5">
        <w:t xml:space="preserve">Adaptation and </w:t>
      </w:r>
      <w:r>
        <w:t>Resilience</w:t>
      </w:r>
      <w:bookmarkEnd w:id="82"/>
      <w:bookmarkEnd w:id="83"/>
    </w:p>
    <w:p w14:paraId="75B519C8" w14:textId="749C003D" w:rsidR="009D562C" w:rsidRDefault="009D562C" w:rsidP="009D562C">
      <w:r>
        <w:t xml:space="preserve">E.O. 13653, </w:t>
      </w:r>
      <w:r w:rsidRPr="009D562C">
        <w:rPr>
          <w:i/>
        </w:rPr>
        <w:t>Preparing the United States for the Impacts of Climate Change</w:t>
      </w:r>
      <w:r>
        <w:t xml:space="preserve">, outlines Federal agency responsibilities </w:t>
      </w:r>
      <w:r w:rsidR="00A41EDB">
        <w:t xml:space="preserve"> to modernize Federal programs to </w:t>
      </w:r>
      <w:r>
        <w:t>support climate resilient investment; manag</w:t>
      </w:r>
      <w:r w:rsidR="00A41EDB">
        <w:t>e</w:t>
      </w:r>
      <w:r>
        <w:t xml:space="preserve"> lands and waters for climate preparedness and resilience; provid</w:t>
      </w:r>
      <w:r w:rsidR="00A41EDB">
        <w:t>e</w:t>
      </w:r>
      <w:r>
        <w:t xml:space="preserve"> information, data and tools for climate change preparedness and resilience; and </w:t>
      </w:r>
      <w:r w:rsidR="00A41EDB">
        <w:t>strategic</w:t>
      </w:r>
      <w:r w:rsidR="005C139E">
        <w:t>ally</w:t>
      </w:r>
      <w:r w:rsidR="00A41EDB">
        <w:t xml:space="preserve"> </w:t>
      </w:r>
      <w:r>
        <w:t>plan</w:t>
      </w:r>
      <w:r w:rsidR="00A41EDB">
        <w:t xml:space="preserve"> for climate change related risk</w:t>
      </w:r>
      <w:r>
        <w:t>.</w:t>
      </w:r>
      <w:r w:rsidR="00A41EDB">
        <w:t xml:space="preserve"> </w:t>
      </w:r>
      <w:r w:rsidR="008D512A">
        <w:t>E.O. 13653</w:t>
      </w:r>
      <w:r w:rsidR="00143AD1">
        <w:t xml:space="preserve"> requires</w:t>
      </w:r>
      <w:r w:rsidR="00A41EDB">
        <w:t xml:space="preserve"> agencies to develop, implement, and regularly update Adaptation Plans, and report on progress on those plans </w:t>
      </w:r>
      <w:r w:rsidR="00143AD1">
        <w:t>through their annual Strategic Sustainability Performance Plans.</w:t>
      </w:r>
    </w:p>
    <w:p w14:paraId="3B635A6B" w14:textId="7F292955" w:rsidR="00143AD1" w:rsidRDefault="009D562C" w:rsidP="00143AD1">
      <w:r>
        <w:t>E.O. 13693 Section 3(h)(viii) states that as part of building efficiency, performance, and management, agencies should incorporat</w:t>
      </w:r>
      <w:r w:rsidR="001B78F2">
        <w:t>e</w:t>
      </w:r>
      <w:r>
        <w:t xml:space="preserve"> climate-resilient design and management elements into the operation, repair, and renovation of existing agency buildings and the design of new agency buildings. Section 13(a) requires agencies to identify and address projected impacts of climate change on </w:t>
      </w:r>
      <w:r w:rsidRPr="00AC6D0F">
        <w:t>mission critical</w:t>
      </w:r>
      <w:r w:rsidRPr="00143AD1">
        <w:t xml:space="preserve"> water</w:t>
      </w:r>
      <w:r>
        <w:t>, energy, communication, and transportation demands and consider those climate impacts in operational preparedness planning for major agency facilities and operations</w:t>
      </w:r>
      <w:r w:rsidR="001B78F2">
        <w:t xml:space="preserve">. </w:t>
      </w:r>
      <w:r>
        <w:t xml:space="preserve">Section 13(b) requires agencies </w:t>
      </w:r>
      <w:r w:rsidR="001B78F2">
        <w:t xml:space="preserve">to </w:t>
      </w:r>
      <w:r>
        <w:t>calculate the potential cost and risk to mission associated with agency operations that do not take into account such information and consider that cost in agency decision-making.</w:t>
      </w:r>
    </w:p>
    <w:p w14:paraId="692395CA" w14:textId="5CF3D97A" w:rsidR="005136F7" w:rsidRDefault="005136F7" w:rsidP="00143AD1">
      <w:r>
        <w:t>SSA Narrative:</w:t>
      </w:r>
    </w:p>
    <w:p w14:paraId="01056BD9" w14:textId="588D5EA1" w:rsidR="007C43F5" w:rsidRPr="00B03D1E" w:rsidRDefault="00510B6E" w:rsidP="00143AD1">
      <w:pPr>
        <w:rPr>
          <w:color w:val="FF0000"/>
        </w:rPr>
      </w:pPr>
      <w:r w:rsidRPr="00B03D1E">
        <w:rPr>
          <w:color w:val="FF0000"/>
        </w:rPr>
        <w:t>As identified in last year's SSPP and the Survey on Climate Adaptation Plan, many of the contingencies and necessities for the SSA's resilience to climate</w:t>
      </w:r>
      <w:r w:rsidR="00D63C9A" w:rsidRPr="00B03D1E">
        <w:rPr>
          <w:color w:val="FF0000"/>
        </w:rPr>
        <w:t xml:space="preserve"> change effects</w:t>
      </w:r>
      <w:r w:rsidRPr="00B03D1E">
        <w:rPr>
          <w:color w:val="FF0000"/>
        </w:rPr>
        <w:t xml:space="preserve"> are covered by our Continuity of Operations Plans</w:t>
      </w:r>
      <w:r w:rsidR="00D63C9A" w:rsidRPr="00B03D1E">
        <w:rPr>
          <w:color w:val="FF0000"/>
        </w:rPr>
        <w:t xml:space="preserve"> (COOP)</w:t>
      </w:r>
      <w:r w:rsidRPr="00B03D1E">
        <w:rPr>
          <w:color w:val="FF0000"/>
        </w:rPr>
        <w:t>. These plans cover each individual site for which SSA has been delegated responsibility by GSA (which leases all SSA buildings).  We</w:t>
      </w:r>
      <w:r w:rsidR="00D63C9A" w:rsidRPr="00B03D1E">
        <w:rPr>
          <w:color w:val="FF0000"/>
        </w:rPr>
        <w:t xml:space="preserve"> have determined that the COOPs</w:t>
      </w:r>
      <w:r w:rsidRPr="00B03D1E">
        <w:rPr>
          <w:color w:val="FF0000"/>
        </w:rPr>
        <w:t xml:space="preserve"> address all threats and hazards, including weather-related problems, fire emergencies, and diseases that are pandemic, infectious</w:t>
      </w:r>
      <w:r w:rsidR="00872312">
        <w:rPr>
          <w:color w:val="FF0000"/>
        </w:rPr>
        <w:t>,</w:t>
      </w:r>
      <w:r w:rsidRPr="00B03D1E">
        <w:rPr>
          <w:color w:val="FF0000"/>
        </w:rPr>
        <w:t xml:space="preserve"> and/or communicable. Our 2014 site survey identified flooding as a concern for </w:t>
      </w:r>
      <w:r w:rsidR="00872312">
        <w:rPr>
          <w:color w:val="FF0000"/>
        </w:rPr>
        <w:t>five</w:t>
      </w:r>
      <w:r w:rsidR="00872312" w:rsidRPr="00B03D1E">
        <w:rPr>
          <w:color w:val="FF0000"/>
        </w:rPr>
        <w:t xml:space="preserve"> </w:t>
      </w:r>
      <w:r w:rsidRPr="00B03D1E">
        <w:rPr>
          <w:color w:val="FF0000"/>
        </w:rPr>
        <w:t xml:space="preserve">out </w:t>
      </w:r>
      <w:r w:rsidR="00872312">
        <w:rPr>
          <w:color w:val="FF0000"/>
        </w:rPr>
        <w:t>six</w:t>
      </w:r>
      <w:r w:rsidR="00872312" w:rsidRPr="00B03D1E">
        <w:rPr>
          <w:color w:val="FF0000"/>
        </w:rPr>
        <w:t xml:space="preserve"> </w:t>
      </w:r>
      <w:r w:rsidRPr="00B03D1E">
        <w:rPr>
          <w:color w:val="FF0000"/>
        </w:rPr>
        <w:t xml:space="preserve">facilities; therefore, we plan to ensure that we have the latest understanding of the flood risk by consulting the latest Flood Insurance Rate Maps (floodplain maps) available from the Federal Emergency Management Agency (FEMA) for all delegated facilities where flooding could potentially occur. </w:t>
      </w:r>
      <w:r w:rsidR="00872312">
        <w:rPr>
          <w:color w:val="FF0000"/>
        </w:rPr>
        <w:t xml:space="preserve"> </w:t>
      </w:r>
      <w:r w:rsidR="00D63C9A" w:rsidRPr="00B03D1E">
        <w:rPr>
          <w:color w:val="FF0000"/>
        </w:rPr>
        <w:t>We plan to</w:t>
      </w:r>
      <w:r w:rsidR="00AE235D" w:rsidRPr="00B03D1E">
        <w:rPr>
          <w:color w:val="FF0000"/>
        </w:rPr>
        <w:t xml:space="preserve"> complete this in FY 2018</w:t>
      </w:r>
      <w:r w:rsidRPr="00B03D1E">
        <w:rPr>
          <w:color w:val="FF0000"/>
        </w:rPr>
        <w:t xml:space="preserve">.  We will ensure that our </w:t>
      </w:r>
      <w:r w:rsidR="00872312">
        <w:rPr>
          <w:color w:val="FF0000"/>
        </w:rPr>
        <w:t xml:space="preserve">staff </w:t>
      </w:r>
      <w:r w:rsidR="00732D3E">
        <w:rPr>
          <w:color w:val="FF0000"/>
        </w:rPr>
        <w:t>at HQ</w:t>
      </w:r>
      <w:r w:rsidRPr="00B03D1E">
        <w:rPr>
          <w:color w:val="FF0000"/>
        </w:rPr>
        <w:t xml:space="preserve"> and other delegated facilities review their COOPs and other relevant plans according to their </w:t>
      </w:r>
      <w:r w:rsidR="00732D3E" w:rsidRPr="00732D3E">
        <w:rPr>
          <w:color w:val="FF0000"/>
        </w:rPr>
        <w:t>annual</w:t>
      </w:r>
      <w:r w:rsidR="00732D3E">
        <w:rPr>
          <w:color w:val="FF0000"/>
        </w:rPr>
        <w:t xml:space="preserve"> </w:t>
      </w:r>
      <w:r w:rsidRPr="00B03D1E">
        <w:rPr>
          <w:color w:val="FF0000"/>
        </w:rPr>
        <w:t>review cycles and update them</w:t>
      </w:r>
      <w:r w:rsidR="00872312">
        <w:rPr>
          <w:color w:val="FF0000"/>
        </w:rPr>
        <w:t>,</w:t>
      </w:r>
      <w:r w:rsidRPr="00B03D1E">
        <w:rPr>
          <w:color w:val="FF0000"/>
        </w:rPr>
        <w:t xml:space="preserve"> as needed</w:t>
      </w:r>
      <w:r w:rsidR="00872312">
        <w:rPr>
          <w:color w:val="FF0000"/>
        </w:rPr>
        <w:t>,</w:t>
      </w:r>
      <w:r w:rsidRPr="00B03D1E">
        <w:rPr>
          <w:color w:val="FF0000"/>
        </w:rPr>
        <w:t xml:space="preserve"> to ensure that they remain current as changes to the operational environment occur or are anticipated to occur, including due to climate change. </w:t>
      </w:r>
      <w:r w:rsidR="00872312">
        <w:rPr>
          <w:color w:val="FF0000"/>
        </w:rPr>
        <w:t xml:space="preserve"> </w:t>
      </w:r>
      <w:r w:rsidRPr="00B03D1E">
        <w:rPr>
          <w:color w:val="FF0000"/>
        </w:rPr>
        <w:t xml:space="preserve">As stated in our strategies, continuity of web-based services is critical to our resiliency in the face of challenges presented by climate change. Our COOPs address these concerns for all our facilities, and the reliability is assessed with each review of the COOPs.  During FY 2018, </w:t>
      </w:r>
      <w:r w:rsidR="00201DD0">
        <w:rPr>
          <w:color w:val="FF0000"/>
        </w:rPr>
        <w:t xml:space="preserve">staff </w:t>
      </w:r>
      <w:r w:rsidR="00732D3E">
        <w:rPr>
          <w:color w:val="FF0000"/>
        </w:rPr>
        <w:t>at HQ</w:t>
      </w:r>
      <w:r w:rsidR="00201DD0" w:rsidRPr="00B03D1E">
        <w:rPr>
          <w:color w:val="FF0000"/>
        </w:rPr>
        <w:t xml:space="preserve"> </w:t>
      </w:r>
      <w:r w:rsidR="00732D3E" w:rsidRPr="00732D3E">
        <w:rPr>
          <w:color w:val="FF0000"/>
        </w:rPr>
        <w:t>plans to provide additional information on climate change risk, specific to flood vulnerability, so that facilities may better utilize previously provided guidance on how to conduct climate change vulnerability and risk assessments.</w:t>
      </w:r>
      <w:r w:rsidR="00732D3E">
        <w:rPr>
          <w:color w:val="FF0000"/>
        </w:rPr>
        <w:t xml:space="preserve">  </w:t>
      </w:r>
      <w:r w:rsidRPr="00B03D1E">
        <w:rPr>
          <w:color w:val="FF0000"/>
        </w:rPr>
        <w:t>We will use GSA's Sustainable Facilities Tool's adaptation planning module following the release of the next National Climate Assessment, which has not yet been scheduled</w:t>
      </w:r>
      <w:r w:rsidR="00872312">
        <w:rPr>
          <w:color w:val="FF0000"/>
        </w:rPr>
        <w:t>,</w:t>
      </w:r>
      <w:r w:rsidRPr="00B03D1E">
        <w:rPr>
          <w:color w:val="FF0000"/>
        </w:rPr>
        <w:t xml:space="preserve"> but was expected to be in 2018 or 2019.</w:t>
      </w:r>
      <w:r w:rsidR="00D63C9A" w:rsidRPr="00B03D1E">
        <w:rPr>
          <w:color w:val="FF0000"/>
        </w:rPr>
        <w:t xml:space="preserve"> </w:t>
      </w:r>
    </w:p>
    <w:p w14:paraId="36F9E190" w14:textId="17FC734C" w:rsidR="005E2072" w:rsidRPr="00EF0165" w:rsidRDefault="00733DF2" w:rsidP="00EF0165">
      <w:pPr>
        <w:pStyle w:val="Heading3"/>
        <w:rPr>
          <w:b w:val="0"/>
          <w:i/>
          <w:color w:val="FF0000"/>
        </w:rPr>
      </w:pPr>
      <w:bookmarkStart w:id="84" w:name="_Toc444272922"/>
      <w:bookmarkEnd w:id="72"/>
      <w:r>
        <w:t xml:space="preserve">Climate Change </w:t>
      </w:r>
      <w:r w:rsidR="007C43F5">
        <w:t xml:space="preserve">Adaptation and </w:t>
      </w:r>
      <w:r>
        <w:t>Resilience Strategies</w:t>
      </w:r>
      <w:bookmarkEnd w:id="84"/>
      <w:r w:rsidR="008D512A">
        <w:t xml:space="preserve"> for Fiscal Year 201</w:t>
      </w:r>
      <w:r w:rsidR="00AE235D">
        <w:t>8</w:t>
      </w:r>
    </w:p>
    <w:tbl>
      <w:tblPr>
        <w:tblW w:w="5000" w:type="pct"/>
        <w:tblLayout w:type="fixed"/>
        <w:tblCellMar>
          <w:left w:w="0" w:type="dxa"/>
          <w:right w:w="0" w:type="dxa"/>
        </w:tblCellMar>
        <w:tblLook w:val="01E0" w:firstRow="1" w:lastRow="1" w:firstColumn="1" w:lastColumn="1" w:noHBand="0" w:noVBand="0"/>
      </w:tblPr>
      <w:tblGrid>
        <w:gridCol w:w="2695"/>
        <w:gridCol w:w="5130"/>
        <w:gridCol w:w="2245"/>
      </w:tblGrid>
      <w:tr w:rsidR="007E4A68" w:rsidRPr="00EB49B5" w14:paraId="4C7CCE49" w14:textId="77777777" w:rsidTr="00F45D7B">
        <w:trPr>
          <w:cantSplit/>
          <w:tblHeader/>
        </w:trPr>
        <w:tc>
          <w:tcPr>
            <w:tcW w:w="26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F4BB1F" w14:textId="77777777" w:rsidR="007E4A68" w:rsidRPr="00EB49B5" w:rsidRDefault="007E4A68" w:rsidP="002E256D">
            <w:pPr>
              <w:pStyle w:val="Table"/>
              <w:jc w:val="center"/>
              <w:rPr>
                <w:b/>
              </w:rPr>
            </w:pPr>
            <w:r w:rsidRPr="00EB49B5">
              <w:rPr>
                <w:b/>
              </w:rPr>
              <w:t>Strategy</w:t>
            </w:r>
          </w:p>
        </w:tc>
        <w:tc>
          <w:tcPr>
            <w:tcW w:w="51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448D1F" w14:textId="77777777" w:rsidR="007E4A68" w:rsidRPr="00EB49B5" w:rsidRDefault="007E4A68" w:rsidP="002E256D">
            <w:pPr>
              <w:pStyle w:val="Table"/>
              <w:jc w:val="center"/>
              <w:rPr>
                <w:b/>
              </w:rPr>
            </w:pPr>
            <w:r>
              <w:rPr>
                <w:b/>
              </w:rPr>
              <w:t>Strategy Narrative</w:t>
            </w:r>
          </w:p>
        </w:tc>
        <w:tc>
          <w:tcPr>
            <w:tcW w:w="224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E6A60C" w14:textId="77777777" w:rsidR="007E4A68" w:rsidRPr="00EB49B5" w:rsidRDefault="007E4A68" w:rsidP="002E256D">
            <w:pPr>
              <w:pStyle w:val="Table"/>
              <w:jc w:val="center"/>
              <w:rPr>
                <w:b/>
              </w:rPr>
            </w:pPr>
            <w:r>
              <w:rPr>
                <w:b/>
              </w:rPr>
              <w:t>Targets and Metrics</w:t>
            </w:r>
          </w:p>
        </w:tc>
      </w:tr>
      <w:tr w:rsidR="007E4A68" w:rsidRPr="00174DC2" w14:paraId="322FA774" w14:textId="77777777" w:rsidTr="00450ED6">
        <w:trPr>
          <w:cantSplit/>
        </w:trPr>
        <w:tc>
          <w:tcPr>
            <w:tcW w:w="2695" w:type="dxa"/>
            <w:tcBorders>
              <w:top w:val="single" w:sz="4" w:space="0" w:color="000000"/>
              <w:left w:val="single" w:sz="4" w:space="0" w:color="000000"/>
              <w:bottom w:val="single" w:sz="4" w:space="0" w:color="000000"/>
              <w:right w:val="single" w:sz="4" w:space="0" w:color="000000"/>
            </w:tcBorders>
          </w:tcPr>
          <w:p w14:paraId="6B029BA3" w14:textId="37231B20" w:rsidR="007E4A68" w:rsidRPr="001C6453" w:rsidRDefault="00EF0165" w:rsidP="001C6453">
            <w:pPr>
              <w:pStyle w:val="Table"/>
              <w:rPr>
                <w:color w:val="000000" w:themeColor="text1"/>
              </w:rPr>
            </w:pPr>
            <w:r w:rsidRPr="001C6453">
              <w:rPr>
                <w:rFonts w:cs="Times New Roman"/>
                <w:color w:val="000000" w:themeColor="text1"/>
              </w:rPr>
              <w:t xml:space="preserve">Update and strengthen agency </w:t>
            </w:r>
            <w:r w:rsidRPr="001C6453">
              <w:rPr>
                <w:rFonts w:cs="Times New Roman"/>
                <w:i/>
                <w:color w:val="000000" w:themeColor="text1"/>
              </w:rPr>
              <w:t>internal</w:t>
            </w:r>
            <w:r w:rsidRPr="001C6453">
              <w:rPr>
                <w:rFonts w:cs="Times New Roman"/>
                <w:color w:val="000000" w:themeColor="text1"/>
              </w:rPr>
              <w:t xml:space="preserve"> mission, programs, policies, and operations to align with the Guiding Principles, including facility acquisition, planning, design, training, and asset management processes, to incentivize planning for and addressing the impacts of climate change</w:t>
            </w:r>
            <w:r>
              <w:rPr>
                <w:rFonts w:cs="Times New Roman"/>
                <w:color w:val="000000" w:themeColor="text1"/>
              </w:rPr>
              <w:t>.</w:t>
            </w:r>
          </w:p>
        </w:tc>
        <w:tc>
          <w:tcPr>
            <w:tcW w:w="5130" w:type="dxa"/>
            <w:tcBorders>
              <w:top w:val="single" w:sz="4" w:space="0" w:color="000000"/>
              <w:left w:val="single" w:sz="4" w:space="0" w:color="000000"/>
              <w:bottom w:val="single" w:sz="4" w:space="0" w:color="000000"/>
              <w:right w:val="single" w:sz="4" w:space="0" w:color="000000"/>
            </w:tcBorders>
          </w:tcPr>
          <w:p w14:paraId="18985213" w14:textId="1759E672" w:rsidR="007E4A68" w:rsidRPr="00E375BF" w:rsidRDefault="00732D3E" w:rsidP="00450ED6">
            <w:pPr>
              <w:pStyle w:val="Table"/>
            </w:pPr>
            <w:r w:rsidRPr="00E375BF">
              <w:t>Our COOPs address all threats and hazards, so whatever the nature of the disruption might be, the plan addresses how to deal with it.  The Deputy Commissioner of each Component is responsible for ensuring that the Component, as well as all subordinate Components—at the level of the Associate Commissioner, Regional Offices, and Field Offices—review and update their COOP annually.  OSEP provides the Components with a template for preparing their COOP.  Regarding climate change considerations, our Office of Security Preparedness assures us that COOPs address all threats and all hazards, including climate change.</w:t>
            </w:r>
          </w:p>
        </w:tc>
        <w:tc>
          <w:tcPr>
            <w:tcW w:w="2245" w:type="dxa"/>
            <w:tcBorders>
              <w:top w:val="single" w:sz="4" w:space="0" w:color="000000"/>
              <w:left w:val="single" w:sz="4" w:space="0" w:color="000000"/>
              <w:bottom w:val="single" w:sz="4" w:space="0" w:color="000000"/>
              <w:right w:val="single" w:sz="4" w:space="0" w:color="000000"/>
            </w:tcBorders>
          </w:tcPr>
          <w:p w14:paraId="2691607F" w14:textId="33ABC66A" w:rsidR="007E4A68" w:rsidRPr="00E375BF" w:rsidRDefault="00872312" w:rsidP="00450ED6">
            <w:pPr>
              <w:pStyle w:val="Table"/>
            </w:pPr>
            <w:r w:rsidRPr="00E375BF">
              <w:t>Review a</w:t>
            </w:r>
            <w:r w:rsidR="00EF0165" w:rsidRPr="00E375BF">
              <w:t>ll COOPs and other relevant contingency plans according to their review cycle and updated as needed.</w:t>
            </w:r>
          </w:p>
        </w:tc>
      </w:tr>
      <w:tr w:rsidR="00732D3E" w:rsidRPr="00174DC2" w14:paraId="707BC41B" w14:textId="77777777" w:rsidTr="00450ED6">
        <w:trPr>
          <w:cantSplit/>
        </w:trPr>
        <w:tc>
          <w:tcPr>
            <w:tcW w:w="2695" w:type="dxa"/>
            <w:tcBorders>
              <w:top w:val="single" w:sz="4" w:space="0" w:color="000000"/>
              <w:left w:val="single" w:sz="4" w:space="0" w:color="000000"/>
              <w:bottom w:val="single" w:sz="4" w:space="0" w:color="000000"/>
              <w:right w:val="single" w:sz="4" w:space="0" w:color="000000"/>
            </w:tcBorders>
          </w:tcPr>
          <w:p w14:paraId="189E7573" w14:textId="75AB4FDB" w:rsidR="00732D3E" w:rsidRPr="001C6453" w:rsidRDefault="00732D3E" w:rsidP="00732D3E">
            <w:pPr>
              <w:pStyle w:val="Table"/>
              <w:rPr>
                <w:color w:val="000000" w:themeColor="text1"/>
              </w:rPr>
            </w:pPr>
            <w:r>
              <w:rPr>
                <w:color w:val="000000" w:themeColor="text1"/>
              </w:rPr>
              <w:t>Evaluate flood risks at delegated facilities, including increased risk due to climate change impacts.</w:t>
            </w:r>
          </w:p>
        </w:tc>
        <w:tc>
          <w:tcPr>
            <w:tcW w:w="5130" w:type="dxa"/>
            <w:tcBorders>
              <w:top w:val="single" w:sz="4" w:space="0" w:color="000000"/>
              <w:left w:val="single" w:sz="4" w:space="0" w:color="000000"/>
              <w:bottom w:val="single" w:sz="4" w:space="0" w:color="000000"/>
              <w:right w:val="single" w:sz="4" w:space="0" w:color="000000"/>
            </w:tcBorders>
          </w:tcPr>
          <w:p w14:paraId="120C86BC" w14:textId="6E9DFBE4" w:rsidR="00732D3E" w:rsidRPr="00E375BF" w:rsidRDefault="00732D3E" w:rsidP="00450ED6">
            <w:pPr>
              <w:pStyle w:val="Table"/>
            </w:pPr>
            <w:r w:rsidRPr="00E375BF">
              <w:t>We plan to evaluate FEMA floodplain maps to make sure we use the best possible baseline for determining flooding risks.  We know the facility in Jamaica, NY on Long Island is at risk, since it has experienced flooding in the past.  We will evaluate the risk for all relevant facilities, including an analysis of facilities currently in 500-year flood zones.</w:t>
            </w:r>
          </w:p>
        </w:tc>
        <w:tc>
          <w:tcPr>
            <w:tcW w:w="2245" w:type="dxa"/>
            <w:tcBorders>
              <w:top w:val="single" w:sz="4" w:space="0" w:color="000000"/>
              <w:left w:val="single" w:sz="4" w:space="0" w:color="000000"/>
              <w:bottom w:val="single" w:sz="4" w:space="0" w:color="000000"/>
              <w:right w:val="single" w:sz="4" w:space="0" w:color="000000"/>
            </w:tcBorders>
          </w:tcPr>
          <w:p w14:paraId="0599987E" w14:textId="6EA972F0" w:rsidR="00732D3E" w:rsidRPr="00E375BF" w:rsidRDefault="00732D3E" w:rsidP="00450ED6">
            <w:pPr>
              <w:pStyle w:val="Table"/>
            </w:pPr>
            <w:r w:rsidRPr="00E375BF">
              <w:t>All delegated facilities evaluated for flood risk in FY 2018.</w:t>
            </w:r>
          </w:p>
        </w:tc>
      </w:tr>
      <w:tr w:rsidR="00732D3E" w:rsidRPr="00174DC2" w14:paraId="6A1044C4" w14:textId="77777777" w:rsidTr="00450ED6">
        <w:trPr>
          <w:cantSplit/>
        </w:trPr>
        <w:tc>
          <w:tcPr>
            <w:tcW w:w="2695" w:type="dxa"/>
            <w:tcBorders>
              <w:top w:val="single" w:sz="4" w:space="0" w:color="000000"/>
              <w:left w:val="single" w:sz="4" w:space="0" w:color="000000"/>
              <w:bottom w:val="single" w:sz="4" w:space="0" w:color="000000"/>
              <w:right w:val="single" w:sz="4" w:space="0" w:color="000000"/>
            </w:tcBorders>
          </w:tcPr>
          <w:p w14:paraId="41441934" w14:textId="1EF1FB91" w:rsidR="00732D3E" w:rsidRPr="001C6453" w:rsidRDefault="00732D3E" w:rsidP="00732D3E">
            <w:pPr>
              <w:pStyle w:val="Table"/>
              <w:rPr>
                <w:color w:val="000000" w:themeColor="text1"/>
              </w:rPr>
            </w:pPr>
            <w:r w:rsidRPr="001C6453">
              <w:rPr>
                <w:color w:val="000000" w:themeColor="text1"/>
              </w:rPr>
              <w:t>Ensure that vulnerable populations potentially impacted by climate change are engaged in agency processes to identify measures addressing relevant climate change impacts</w:t>
            </w:r>
            <w:r>
              <w:rPr>
                <w:color w:val="000000" w:themeColor="text1"/>
              </w:rPr>
              <w:t>.</w:t>
            </w:r>
          </w:p>
        </w:tc>
        <w:tc>
          <w:tcPr>
            <w:tcW w:w="5130" w:type="dxa"/>
            <w:tcBorders>
              <w:top w:val="single" w:sz="4" w:space="0" w:color="000000"/>
              <w:left w:val="single" w:sz="4" w:space="0" w:color="000000"/>
              <w:bottom w:val="single" w:sz="4" w:space="0" w:color="000000"/>
              <w:right w:val="single" w:sz="4" w:space="0" w:color="000000"/>
            </w:tcBorders>
          </w:tcPr>
          <w:p w14:paraId="2FBBD7C9" w14:textId="5443C986" w:rsidR="00732D3E" w:rsidRPr="00E375BF" w:rsidRDefault="00732D3E" w:rsidP="00450ED6">
            <w:pPr>
              <w:pStyle w:val="Table"/>
            </w:pPr>
            <w:r w:rsidRPr="00E375BF">
              <w:t>We already make our services available online so customers with mobility or health issues can obtain the assistance they need without visiting one of our field offices.  We have provisions in place to ensure the continuity of web-based services in the event of disruptions to the electricity grid.</w:t>
            </w:r>
          </w:p>
        </w:tc>
        <w:tc>
          <w:tcPr>
            <w:tcW w:w="2245" w:type="dxa"/>
            <w:tcBorders>
              <w:top w:val="single" w:sz="4" w:space="0" w:color="000000"/>
              <w:left w:val="single" w:sz="4" w:space="0" w:color="000000"/>
              <w:bottom w:val="single" w:sz="4" w:space="0" w:color="000000"/>
              <w:right w:val="single" w:sz="4" w:space="0" w:color="000000"/>
            </w:tcBorders>
          </w:tcPr>
          <w:p w14:paraId="5452082B" w14:textId="47970580" w:rsidR="00732D3E" w:rsidRPr="00E375BF" w:rsidRDefault="00732D3E" w:rsidP="00450ED6">
            <w:pPr>
              <w:pStyle w:val="Table"/>
            </w:pPr>
            <w:r w:rsidRPr="00E375BF">
              <w:t>Continuity of web-based services assured on an ongoing basis, in the event of disruptions to the electricity grid.</w:t>
            </w:r>
          </w:p>
        </w:tc>
      </w:tr>
      <w:tr w:rsidR="00732D3E" w:rsidRPr="00174DC2" w14:paraId="1156B469" w14:textId="77777777" w:rsidTr="00450ED6">
        <w:trPr>
          <w:cantSplit/>
        </w:trPr>
        <w:tc>
          <w:tcPr>
            <w:tcW w:w="2695" w:type="dxa"/>
            <w:tcBorders>
              <w:top w:val="single" w:sz="4" w:space="0" w:color="000000"/>
              <w:left w:val="single" w:sz="4" w:space="0" w:color="000000"/>
              <w:bottom w:val="single" w:sz="4" w:space="0" w:color="000000"/>
              <w:right w:val="single" w:sz="4" w:space="0" w:color="000000"/>
            </w:tcBorders>
          </w:tcPr>
          <w:p w14:paraId="25313EE4" w14:textId="02F13A88" w:rsidR="00732D3E" w:rsidRDefault="00732D3E" w:rsidP="00732D3E">
            <w:pPr>
              <w:pStyle w:val="Table"/>
              <w:rPr>
                <w:color w:val="000000" w:themeColor="text1"/>
              </w:rPr>
            </w:pPr>
            <w:r>
              <w:rPr>
                <w:color w:val="000000" w:themeColor="text1"/>
              </w:rPr>
              <w:t>Aid delegated facilities in assessing risk due to climate change and provide guidance for them to update their COOPs accordingly.</w:t>
            </w:r>
          </w:p>
        </w:tc>
        <w:tc>
          <w:tcPr>
            <w:tcW w:w="5130" w:type="dxa"/>
            <w:tcBorders>
              <w:top w:val="single" w:sz="4" w:space="0" w:color="000000"/>
              <w:left w:val="single" w:sz="4" w:space="0" w:color="000000"/>
              <w:bottom w:val="single" w:sz="4" w:space="0" w:color="000000"/>
              <w:right w:val="single" w:sz="4" w:space="0" w:color="000000"/>
            </w:tcBorders>
          </w:tcPr>
          <w:p w14:paraId="6D467B74" w14:textId="1BDCA0DC" w:rsidR="00732D3E" w:rsidRPr="00E375BF" w:rsidRDefault="00732D3E" w:rsidP="00450ED6">
            <w:pPr>
              <w:pStyle w:val="Table"/>
            </w:pPr>
            <w:r w:rsidRPr="00E375BF">
              <w:t>During FY 2018, staff at HQ plans to provide additional information on climate change risk, specific to flood vulnerability, so that facilities may better utilize previously provided guidance on how to conduct climate change vulnerability and risk assessments. Appendix C of the SSA FY14 Climate Change Adaptation Plan already lays out how to conduct a vulnerability and risk assessment.  HQ staff will send each facility the projected impacts relevant for their area, and explain the process for assessing vulnerabilities and risks and prioritizing issues, as per Appendix C.  For those facilities wanting it, staff at HQ will set up teleconferences to guide them through the assessment process.</w:t>
            </w:r>
          </w:p>
        </w:tc>
        <w:tc>
          <w:tcPr>
            <w:tcW w:w="2245" w:type="dxa"/>
            <w:tcBorders>
              <w:top w:val="single" w:sz="4" w:space="0" w:color="000000"/>
              <w:left w:val="single" w:sz="4" w:space="0" w:color="000000"/>
              <w:bottom w:val="single" w:sz="4" w:space="0" w:color="000000"/>
              <w:right w:val="single" w:sz="4" w:space="0" w:color="000000"/>
            </w:tcBorders>
          </w:tcPr>
          <w:p w14:paraId="43FB0E0C" w14:textId="6D196980" w:rsidR="00732D3E" w:rsidRPr="00E375BF" w:rsidRDefault="00732D3E" w:rsidP="00450ED6">
            <w:pPr>
              <w:pStyle w:val="Table"/>
            </w:pPr>
            <w:r w:rsidRPr="00E375BF">
              <w:t>Flood risk analysis provided to SSA facilities following FY 2018 analysis. CCAP Appendix C will be updated, if necessary, to clarify for the facilities what must be accomplished with their climate change vulnerability risk assessment.</w:t>
            </w:r>
          </w:p>
        </w:tc>
      </w:tr>
    </w:tbl>
    <w:p w14:paraId="5BE28D03" w14:textId="7D0071F3" w:rsidR="00EA3F94" w:rsidRPr="00D3427A" w:rsidRDefault="00EA3F94" w:rsidP="00D3427A"/>
    <w:sectPr w:rsidR="00EA3F94" w:rsidRPr="00D3427A" w:rsidSect="00C36C43">
      <w:footerReference w:type="default" r:id="rId25"/>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0878E" w14:textId="77777777" w:rsidR="006F131A" w:rsidRDefault="006F131A" w:rsidP="00367B3D">
      <w:r>
        <w:separator/>
      </w:r>
    </w:p>
  </w:endnote>
  <w:endnote w:type="continuationSeparator" w:id="0">
    <w:p w14:paraId="54EC7E5F" w14:textId="77777777" w:rsidR="006F131A" w:rsidRDefault="006F131A" w:rsidP="00367B3D">
      <w:r>
        <w:continuationSeparator/>
      </w:r>
    </w:p>
  </w:endnote>
  <w:endnote w:type="continuationNotice" w:id="1">
    <w:p w14:paraId="42601511" w14:textId="77777777" w:rsidR="006F131A" w:rsidRDefault="006F13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392032"/>
      <w:docPartObj>
        <w:docPartGallery w:val="Page Numbers (Bottom of Page)"/>
        <w:docPartUnique/>
      </w:docPartObj>
    </w:sdtPr>
    <w:sdtEndPr>
      <w:rPr>
        <w:noProof/>
      </w:rPr>
    </w:sdtEndPr>
    <w:sdtContent>
      <w:p w14:paraId="4FD5D564" w14:textId="48011E8C" w:rsidR="006F131A" w:rsidRDefault="006F131A">
        <w:pPr>
          <w:pStyle w:val="Footer"/>
          <w:jc w:val="center"/>
        </w:pPr>
        <w:r>
          <w:fldChar w:fldCharType="begin"/>
        </w:r>
        <w:r>
          <w:instrText xml:space="preserve"> PAGE   \* MERGEFORMAT </w:instrText>
        </w:r>
        <w:r>
          <w:fldChar w:fldCharType="separate"/>
        </w:r>
        <w:r w:rsidR="0049620D">
          <w:rPr>
            <w:noProof/>
          </w:rPr>
          <w:t>21</w:t>
        </w:r>
        <w:r>
          <w:rPr>
            <w:noProof/>
          </w:rPr>
          <w:fldChar w:fldCharType="end"/>
        </w:r>
      </w:p>
    </w:sdtContent>
  </w:sdt>
  <w:p w14:paraId="7EB9E933" w14:textId="3F7392DC" w:rsidR="006F131A" w:rsidRDefault="006F131A" w:rsidP="000637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9C9FC" w14:textId="77777777" w:rsidR="006F131A" w:rsidRDefault="006F131A" w:rsidP="00174DC2">
      <w:pPr>
        <w:spacing w:after="0"/>
      </w:pPr>
      <w:r>
        <w:separator/>
      </w:r>
    </w:p>
  </w:footnote>
  <w:footnote w:type="continuationSeparator" w:id="0">
    <w:p w14:paraId="5F0B69C8" w14:textId="77777777" w:rsidR="006F131A" w:rsidRDefault="006F131A" w:rsidP="00174DC2">
      <w:pPr>
        <w:spacing w:after="0"/>
      </w:pPr>
      <w:r>
        <w:continuationSeparator/>
      </w:r>
    </w:p>
  </w:footnote>
  <w:footnote w:type="continuationNotice" w:id="1">
    <w:p w14:paraId="3CAD02C3" w14:textId="77777777" w:rsidR="006F131A" w:rsidRDefault="006F131A">
      <w:pPr>
        <w:spacing w:after="0"/>
      </w:pPr>
    </w:p>
  </w:footnote>
  <w:footnote w:id="2">
    <w:p w14:paraId="678D1FAF" w14:textId="240A150B" w:rsidR="006F131A" w:rsidRDefault="006F131A">
      <w:pPr>
        <w:pStyle w:val="FootnoteText"/>
      </w:pPr>
      <w:r>
        <w:rPr>
          <w:rStyle w:val="FootnoteReference"/>
        </w:rPr>
        <w:footnoteRef/>
      </w:r>
      <w:r>
        <w:t xml:space="preserve"> This is the only chart that will include progress through 12/31/2016 versus FY16 performance.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811"/>
    <w:multiLevelType w:val="hybridMultilevel"/>
    <w:tmpl w:val="40B27330"/>
    <w:lvl w:ilvl="0" w:tplc="A7B449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85555"/>
    <w:multiLevelType w:val="hybridMultilevel"/>
    <w:tmpl w:val="F1A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54C4"/>
    <w:multiLevelType w:val="hybridMultilevel"/>
    <w:tmpl w:val="8B5A5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1B2C"/>
    <w:multiLevelType w:val="hybridMultilevel"/>
    <w:tmpl w:val="C6C29EDA"/>
    <w:lvl w:ilvl="0" w:tplc="E6C0E402">
      <w:start w:val="1"/>
      <w:numFmt w:val="decimal"/>
      <w:suff w:val="space"/>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CDE4E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4421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42B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7011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630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0EF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8C7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CA22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DF3687"/>
    <w:multiLevelType w:val="hybridMultilevel"/>
    <w:tmpl w:val="136A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37F93"/>
    <w:multiLevelType w:val="hybridMultilevel"/>
    <w:tmpl w:val="C3FAE36A"/>
    <w:lvl w:ilvl="0" w:tplc="20BEA47C">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2DD04C39"/>
    <w:multiLevelType w:val="hybridMultilevel"/>
    <w:tmpl w:val="C6C29EDA"/>
    <w:lvl w:ilvl="0" w:tplc="E6C0E402">
      <w:start w:val="1"/>
      <w:numFmt w:val="decimal"/>
      <w:suff w:val="space"/>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CDE4E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4421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42B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7011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630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0EF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8C7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CA22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7E3ADB"/>
    <w:multiLevelType w:val="hybridMultilevel"/>
    <w:tmpl w:val="559E205C"/>
    <w:lvl w:ilvl="0" w:tplc="04090011">
      <w:start w:val="1"/>
      <w:numFmt w:val="decimal"/>
      <w:lvlText w:val="%1)"/>
      <w:lvlJc w:val="left"/>
      <w:pPr>
        <w:ind w:left="720" w:hanging="360"/>
      </w:pPr>
      <w:rPr>
        <w:rFonts w:hint="default"/>
      </w:rPr>
    </w:lvl>
    <w:lvl w:ilvl="1" w:tplc="DAEE74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E5B95"/>
    <w:multiLevelType w:val="multilevel"/>
    <w:tmpl w:val="EDDA67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6505B2"/>
    <w:multiLevelType w:val="hybridMultilevel"/>
    <w:tmpl w:val="0A6AD23A"/>
    <w:lvl w:ilvl="0" w:tplc="BFEAF2E6">
      <w:start w:val="1"/>
      <w:numFmt w:val="decimal"/>
      <w:suff w:val="space"/>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C1D51"/>
    <w:multiLevelType w:val="hybridMultilevel"/>
    <w:tmpl w:val="7A2A3A40"/>
    <w:lvl w:ilvl="0" w:tplc="A40838AC">
      <w:start w:val="1"/>
      <w:numFmt w:val="decimal"/>
      <w:lvlText w:val="%1."/>
      <w:lvlJc w:val="left"/>
      <w:pPr>
        <w:ind w:left="720" w:hanging="360"/>
      </w:pPr>
      <w:rPr>
        <w:color w:val="33333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FE0669"/>
    <w:multiLevelType w:val="hybridMultilevel"/>
    <w:tmpl w:val="3B20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80627"/>
    <w:multiLevelType w:val="hybridMultilevel"/>
    <w:tmpl w:val="5B28A8F4"/>
    <w:lvl w:ilvl="0" w:tplc="E6C0E402">
      <w:start w:val="1"/>
      <w:numFmt w:val="decimal"/>
      <w:suff w:val="space"/>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8136B"/>
    <w:multiLevelType w:val="hybridMultilevel"/>
    <w:tmpl w:val="8B5A5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F24CD2"/>
    <w:multiLevelType w:val="multilevel"/>
    <w:tmpl w:val="4AA86F0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307AF2"/>
    <w:multiLevelType w:val="hybridMultilevel"/>
    <w:tmpl w:val="0A6AD23A"/>
    <w:lvl w:ilvl="0" w:tplc="BFEAF2E6">
      <w:start w:val="1"/>
      <w:numFmt w:val="decimal"/>
      <w:suff w:val="space"/>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F1F53"/>
    <w:multiLevelType w:val="hybridMultilevel"/>
    <w:tmpl w:val="E9061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44BE1"/>
    <w:multiLevelType w:val="hybridMultilevel"/>
    <w:tmpl w:val="7E502F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B2D05"/>
    <w:multiLevelType w:val="hybridMultilevel"/>
    <w:tmpl w:val="A7B4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812B1"/>
    <w:multiLevelType w:val="hybridMultilevel"/>
    <w:tmpl w:val="8B5A5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17AAF"/>
    <w:multiLevelType w:val="hybridMultilevel"/>
    <w:tmpl w:val="B756D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470E05"/>
    <w:multiLevelType w:val="hybridMultilevel"/>
    <w:tmpl w:val="1F20520A"/>
    <w:lvl w:ilvl="0" w:tplc="F9084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7"/>
  </w:num>
  <w:num w:numId="4">
    <w:abstractNumId w:val="16"/>
  </w:num>
  <w:num w:numId="5">
    <w:abstractNumId w:val="8"/>
  </w:num>
  <w:num w:numId="6">
    <w:abstractNumId w:val="7"/>
  </w:num>
  <w:num w:numId="7">
    <w:abstractNumId w:val="11"/>
  </w:num>
  <w:num w:numId="8">
    <w:abstractNumId w:val="1"/>
  </w:num>
  <w:num w:numId="9">
    <w:abstractNumId w:val="14"/>
  </w:num>
  <w:num w:numId="10">
    <w:abstractNumId w:val="6"/>
  </w:num>
  <w:num w:numId="11">
    <w:abstractNumId w:val="3"/>
  </w:num>
  <w:num w:numId="12">
    <w:abstractNumId w:val="15"/>
  </w:num>
  <w:num w:numId="13">
    <w:abstractNumId w:val="12"/>
  </w:num>
  <w:num w:numId="14">
    <w:abstractNumId w:val="9"/>
  </w:num>
  <w:num w:numId="15">
    <w:abstractNumId w:val="0"/>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2"/>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FD"/>
    <w:rsid w:val="000011EF"/>
    <w:rsid w:val="00002372"/>
    <w:rsid w:val="00002F62"/>
    <w:rsid w:val="00005D1C"/>
    <w:rsid w:val="0001243E"/>
    <w:rsid w:val="000124A6"/>
    <w:rsid w:val="00015C65"/>
    <w:rsid w:val="00021361"/>
    <w:rsid w:val="00022758"/>
    <w:rsid w:val="00024550"/>
    <w:rsid w:val="00026E4A"/>
    <w:rsid w:val="0003414E"/>
    <w:rsid w:val="00043C66"/>
    <w:rsid w:val="00051F64"/>
    <w:rsid w:val="000633A9"/>
    <w:rsid w:val="000637C8"/>
    <w:rsid w:val="00066251"/>
    <w:rsid w:val="0006779F"/>
    <w:rsid w:val="00070AAD"/>
    <w:rsid w:val="00071909"/>
    <w:rsid w:val="00072940"/>
    <w:rsid w:val="000742A5"/>
    <w:rsid w:val="000747AD"/>
    <w:rsid w:val="000763E5"/>
    <w:rsid w:val="0007664B"/>
    <w:rsid w:val="000842CB"/>
    <w:rsid w:val="00085694"/>
    <w:rsid w:val="00087AB0"/>
    <w:rsid w:val="0009179D"/>
    <w:rsid w:val="000957DD"/>
    <w:rsid w:val="00097002"/>
    <w:rsid w:val="000974AD"/>
    <w:rsid w:val="0009770A"/>
    <w:rsid w:val="000A2448"/>
    <w:rsid w:val="000A676F"/>
    <w:rsid w:val="000A6D49"/>
    <w:rsid w:val="000B1E8A"/>
    <w:rsid w:val="000B30B2"/>
    <w:rsid w:val="000C76C2"/>
    <w:rsid w:val="000D74BF"/>
    <w:rsid w:val="000D7CC1"/>
    <w:rsid w:val="000F0508"/>
    <w:rsid w:val="000F15DE"/>
    <w:rsid w:val="000F43BB"/>
    <w:rsid w:val="000F6D2D"/>
    <w:rsid w:val="000F7490"/>
    <w:rsid w:val="000F7B12"/>
    <w:rsid w:val="00105789"/>
    <w:rsid w:val="00106C37"/>
    <w:rsid w:val="001107DC"/>
    <w:rsid w:val="00113F94"/>
    <w:rsid w:val="0011544E"/>
    <w:rsid w:val="001166FE"/>
    <w:rsid w:val="00120BD5"/>
    <w:rsid w:val="00137435"/>
    <w:rsid w:val="00143AD1"/>
    <w:rsid w:val="00145B99"/>
    <w:rsid w:val="00154D1F"/>
    <w:rsid w:val="00155A8D"/>
    <w:rsid w:val="00160820"/>
    <w:rsid w:val="001615AF"/>
    <w:rsid w:val="00163F29"/>
    <w:rsid w:val="00174CFE"/>
    <w:rsid w:val="00174DC2"/>
    <w:rsid w:val="00180F90"/>
    <w:rsid w:val="00182AEB"/>
    <w:rsid w:val="00184207"/>
    <w:rsid w:val="001933C3"/>
    <w:rsid w:val="001A4341"/>
    <w:rsid w:val="001A4775"/>
    <w:rsid w:val="001B06CF"/>
    <w:rsid w:val="001B1D5B"/>
    <w:rsid w:val="001B215C"/>
    <w:rsid w:val="001B2AEC"/>
    <w:rsid w:val="001B3803"/>
    <w:rsid w:val="001B78F2"/>
    <w:rsid w:val="001C0EA6"/>
    <w:rsid w:val="001C2AA6"/>
    <w:rsid w:val="001C5496"/>
    <w:rsid w:val="001C6453"/>
    <w:rsid w:val="001C7413"/>
    <w:rsid w:val="001D60BE"/>
    <w:rsid w:val="001D6E84"/>
    <w:rsid w:val="001D7F60"/>
    <w:rsid w:val="001E2358"/>
    <w:rsid w:val="001E2C84"/>
    <w:rsid w:val="001F2FC1"/>
    <w:rsid w:val="001F3EB1"/>
    <w:rsid w:val="001F5F6C"/>
    <w:rsid w:val="001F60F5"/>
    <w:rsid w:val="00200609"/>
    <w:rsid w:val="00200DCB"/>
    <w:rsid w:val="00201DD0"/>
    <w:rsid w:val="00203C80"/>
    <w:rsid w:val="0020540D"/>
    <w:rsid w:val="00211B89"/>
    <w:rsid w:val="00217475"/>
    <w:rsid w:val="00217C18"/>
    <w:rsid w:val="00221959"/>
    <w:rsid w:val="00221CE8"/>
    <w:rsid w:val="00222516"/>
    <w:rsid w:val="00223EFD"/>
    <w:rsid w:val="00231C90"/>
    <w:rsid w:val="00235B42"/>
    <w:rsid w:val="00242900"/>
    <w:rsid w:val="002442E9"/>
    <w:rsid w:val="0024775F"/>
    <w:rsid w:val="002511D0"/>
    <w:rsid w:val="002577D0"/>
    <w:rsid w:val="00263174"/>
    <w:rsid w:val="00264418"/>
    <w:rsid w:val="002648E1"/>
    <w:rsid w:val="002653FD"/>
    <w:rsid w:val="00270F11"/>
    <w:rsid w:val="002717F5"/>
    <w:rsid w:val="002750EC"/>
    <w:rsid w:val="00280EDB"/>
    <w:rsid w:val="00282A08"/>
    <w:rsid w:val="00286506"/>
    <w:rsid w:val="00287C32"/>
    <w:rsid w:val="00295180"/>
    <w:rsid w:val="002A022C"/>
    <w:rsid w:val="002A1D3C"/>
    <w:rsid w:val="002A2AFB"/>
    <w:rsid w:val="002A3D51"/>
    <w:rsid w:val="002A3FDB"/>
    <w:rsid w:val="002A5183"/>
    <w:rsid w:val="002A5BCA"/>
    <w:rsid w:val="002B51AF"/>
    <w:rsid w:val="002B55C4"/>
    <w:rsid w:val="002B7003"/>
    <w:rsid w:val="002B79FA"/>
    <w:rsid w:val="002C0651"/>
    <w:rsid w:val="002C159A"/>
    <w:rsid w:val="002C3D2B"/>
    <w:rsid w:val="002D458E"/>
    <w:rsid w:val="002D57B0"/>
    <w:rsid w:val="002D7B7A"/>
    <w:rsid w:val="002E256D"/>
    <w:rsid w:val="002E27FE"/>
    <w:rsid w:val="002E2CB8"/>
    <w:rsid w:val="002E3028"/>
    <w:rsid w:val="002E51BF"/>
    <w:rsid w:val="002F1946"/>
    <w:rsid w:val="002F28AF"/>
    <w:rsid w:val="002F5B27"/>
    <w:rsid w:val="002F6048"/>
    <w:rsid w:val="002F7FA5"/>
    <w:rsid w:val="002F7FDD"/>
    <w:rsid w:val="003049AE"/>
    <w:rsid w:val="00307697"/>
    <w:rsid w:val="0031009E"/>
    <w:rsid w:val="0031159E"/>
    <w:rsid w:val="00316EBF"/>
    <w:rsid w:val="00323056"/>
    <w:rsid w:val="0032375C"/>
    <w:rsid w:val="00333C7C"/>
    <w:rsid w:val="00334AC0"/>
    <w:rsid w:val="00335CEA"/>
    <w:rsid w:val="00336975"/>
    <w:rsid w:val="00337ED4"/>
    <w:rsid w:val="0034316A"/>
    <w:rsid w:val="003435BF"/>
    <w:rsid w:val="00343B44"/>
    <w:rsid w:val="00344AB1"/>
    <w:rsid w:val="00350CB8"/>
    <w:rsid w:val="0035174F"/>
    <w:rsid w:val="00353750"/>
    <w:rsid w:val="00354157"/>
    <w:rsid w:val="0035615F"/>
    <w:rsid w:val="003561D4"/>
    <w:rsid w:val="0036064F"/>
    <w:rsid w:val="00363D58"/>
    <w:rsid w:val="00364618"/>
    <w:rsid w:val="00367B3D"/>
    <w:rsid w:val="003728B4"/>
    <w:rsid w:val="00375830"/>
    <w:rsid w:val="00382A87"/>
    <w:rsid w:val="00382B7B"/>
    <w:rsid w:val="00382CD4"/>
    <w:rsid w:val="0038611F"/>
    <w:rsid w:val="00386F49"/>
    <w:rsid w:val="0039579C"/>
    <w:rsid w:val="00395818"/>
    <w:rsid w:val="00397585"/>
    <w:rsid w:val="003A211E"/>
    <w:rsid w:val="003B09DF"/>
    <w:rsid w:val="003B3EE4"/>
    <w:rsid w:val="003B5CE0"/>
    <w:rsid w:val="003B6468"/>
    <w:rsid w:val="003B6A7F"/>
    <w:rsid w:val="003C07EC"/>
    <w:rsid w:val="003C1F67"/>
    <w:rsid w:val="003C62E9"/>
    <w:rsid w:val="003D1BAD"/>
    <w:rsid w:val="003E0DD9"/>
    <w:rsid w:val="003E19D0"/>
    <w:rsid w:val="003E1DAA"/>
    <w:rsid w:val="003E2D36"/>
    <w:rsid w:val="003F4398"/>
    <w:rsid w:val="0040139F"/>
    <w:rsid w:val="00403B3C"/>
    <w:rsid w:val="00406076"/>
    <w:rsid w:val="004066DC"/>
    <w:rsid w:val="004107D5"/>
    <w:rsid w:val="00412588"/>
    <w:rsid w:val="0041276D"/>
    <w:rsid w:val="00416913"/>
    <w:rsid w:val="0041763D"/>
    <w:rsid w:val="00420BD4"/>
    <w:rsid w:val="004226F0"/>
    <w:rsid w:val="00423DC0"/>
    <w:rsid w:val="0042425F"/>
    <w:rsid w:val="00433ED0"/>
    <w:rsid w:val="00437BE3"/>
    <w:rsid w:val="00440242"/>
    <w:rsid w:val="004412C5"/>
    <w:rsid w:val="00441F5A"/>
    <w:rsid w:val="00444E58"/>
    <w:rsid w:val="00447DB5"/>
    <w:rsid w:val="00450ED6"/>
    <w:rsid w:val="004540F2"/>
    <w:rsid w:val="004600CA"/>
    <w:rsid w:val="00460975"/>
    <w:rsid w:val="00460A6A"/>
    <w:rsid w:val="0046216F"/>
    <w:rsid w:val="00462984"/>
    <w:rsid w:val="00463F29"/>
    <w:rsid w:val="00464C40"/>
    <w:rsid w:val="004670AE"/>
    <w:rsid w:val="00467521"/>
    <w:rsid w:val="004705ED"/>
    <w:rsid w:val="00474759"/>
    <w:rsid w:val="004830C6"/>
    <w:rsid w:val="004842E5"/>
    <w:rsid w:val="00485580"/>
    <w:rsid w:val="00491B4D"/>
    <w:rsid w:val="00495A0E"/>
    <w:rsid w:val="00495D5F"/>
    <w:rsid w:val="0049620D"/>
    <w:rsid w:val="004A11C3"/>
    <w:rsid w:val="004A18CA"/>
    <w:rsid w:val="004A347B"/>
    <w:rsid w:val="004A4CA2"/>
    <w:rsid w:val="004A5645"/>
    <w:rsid w:val="004A7727"/>
    <w:rsid w:val="004B0F88"/>
    <w:rsid w:val="004B2700"/>
    <w:rsid w:val="004B2A40"/>
    <w:rsid w:val="004B6466"/>
    <w:rsid w:val="004C04B2"/>
    <w:rsid w:val="004C1CF2"/>
    <w:rsid w:val="004C3A4B"/>
    <w:rsid w:val="004D3D83"/>
    <w:rsid w:val="004D44CA"/>
    <w:rsid w:val="004D598B"/>
    <w:rsid w:val="004D7C57"/>
    <w:rsid w:val="004E1278"/>
    <w:rsid w:val="004E1D5D"/>
    <w:rsid w:val="004E1EA5"/>
    <w:rsid w:val="004E3CBC"/>
    <w:rsid w:val="004E3DCC"/>
    <w:rsid w:val="004E7902"/>
    <w:rsid w:val="004F275A"/>
    <w:rsid w:val="004F3278"/>
    <w:rsid w:val="004F7DD6"/>
    <w:rsid w:val="00500583"/>
    <w:rsid w:val="005045BE"/>
    <w:rsid w:val="005048C7"/>
    <w:rsid w:val="00504F23"/>
    <w:rsid w:val="00510B6E"/>
    <w:rsid w:val="00510F01"/>
    <w:rsid w:val="005110A9"/>
    <w:rsid w:val="005136F7"/>
    <w:rsid w:val="00514E01"/>
    <w:rsid w:val="00524CF6"/>
    <w:rsid w:val="005305CC"/>
    <w:rsid w:val="0053148C"/>
    <w:rsid w:val="00531838"/>
    <w:rsid w:val="005339D0"/>
    <w:rsid w:val="005361D3"/>
    <w:rsid w:val="0053649B"/>
    <w:rsid w:val="00536862"/>
    <w:rsid w:val="00536A5E"/>
    <w:rsid w:val="00537C4E"/>
    <w:rsid w:val="00541AB6"/>
    <w:rsid w:val="00543BBE"/>
    <w:rsid w:val="00550DF3"/>
    <w:rsid w:val="00566252"/>
    <w:rsid w:val="005704CB"/>
    <w:rsid w:val="00571FA8"/>
    <w:rsid w:val="00576A24"/>
    <w:rsid w:val="00586FE3"/>
    <w:rsid w:val="005900E7"/>
    <w:rsid w:val="005904A7"/>
    <w:rsid w:val="00592545"/>
    <w:rsid w:val="005A32FA"/>
    <w:rsid w:val="005A3CB0"/>
    <w:rsid w:val="005A4A91"/>
    <w:rsid w:val="005A65FA"/>
    <w:rsid w:val="005A70DA"/>
    <w:rsid w:val="005A7F3A"/>
    <w:rsid w:val="005B0445"/>
    <w:rsid w:val="005B2D5E"/>
    <w:rsid w:val="005B6EAB"/>
    <w:rsid w:val="005B76F8"/>
    <w:rsid w:val="005B7FC0"/>
    <w:rsid w:val="005C139E"/>
    <w:rsid w:val="005C6304"/>
    <w:rsid w:val="005C7012"/>
    <w:rsid w:val="005C7338"/>
    <w:rsid w:val="005D4B77"/>
    <w:rsid w:val="005D6E51"/>
    <w:rsid w:val="005D76D6"/>
    <w:rsid w:val="005E2031"/>
    <w:rsid w:val="005E2072"/>
    <w:rsid w:val="005E35E0"/>
    <w:rsid w:val="005E429E"/>
    <w:rsid w:val="005E5F75"/>
    <w:rsid w:val="005E7335"/>
    <w:rsid w:val="005F274D"/>
    <w:rsid w:val="005F3521"/>
    <w:rsid w:val="005F3A8A"/>
    <w:rsid w:val="005F417C"/>
    <w:rsid w:val="00600241"/>
    <w:rsid w:val="0060125A"/>
    <w:rsid w:val="00603EFD"/>
    <w:rsid w:val="00607803"/>
    <w:rsid w:val="00616963"/>
    <w:rsid w:val="006259C8"/>
    <w:rsid w:val="00627243"/>
    <w:rsid w:val="00642610"/>
    <w:rsid w:val="0064301A"/>
    <w:rsid w:val="00643302"/>
    <w:rsid w:val="00644120"/>
    <w:rsid w:val="00645F06"/>
    <w:rsid w:val="00646F42"/>
    <w:rsid w:val="00652D53"/>
    <w:rsid w:val="006604ED"/>
    <w:rsid w:val="00660882"/>
    <w:rsid w:val="00663C27"/>
    <w:rsid w:val="00665A4B"/>
    <w:rsid w:val="00672C8E"/>
    <w:rsid w:val="0067463C"/>
    <w:rsid w:val="006825EE"/>
    <w:rsid w:val="006834E7"/>
    <w:rsid w:val="00683F52"/>
    <w:rsid w:val="00685D98"/>
    <w:rsid w:val="00693C3A"/>
    <w:rsid w:val="006A2DFD"/>
    <w:rsid w:val="006A4051"/>
    <w:rsid w:val="006A55C5"/>
    <w:rsid w:val="006A78D7"/>
    <w:rsid w:val="006C2A70"/>
    <w:rsid w:val="006C6B73"/>
    <w:rsid w:val="006C7410"/>
    <w:rsid w:val="006D0095"/>
    <w:rsid w:val="006D21A9"/>
    <w:rsid w:val="006D2439"/>
    <w:rsid w:val="006D7D5A"/>
    <w:rsid w:val="006E580E"/>
    <w:rsid w:val="006E6AF8"/>
    <w:rsid w:val="006E7E3C"/>
    <w:rsid w:val="006F131A"/>
    <w:rsid w:val="006F3DF6"/>
    <w:rsid w:val="006F48CC"/>
    <w:rsid w:val="006F649A"/>
    <w:rsid w:val="006F7BC4"/>
    <w:rsid w:val="006F7E14"/>
    <w:rsid w:val="00705308"/>
    <w:rsid w:val="0071353A"/>
    <w:rsid w:val="00714675"/>
    <w:rsid w:val="007164FA"/>
    <w:rsid w:val="00720543"/>
    <w:rsid w:val="00721E78"/>
    <w:rsid w:val="007257A4"/>
    <w:rsid w:val="00732D3E"/>
    <w:rsid w:val="00733DF2"/>
    <w:rsid w:val="0073544E"/>
    <w:rsid w:val="00735DC5"/>
    <w:rsid w:val="00736BAE"/>
    <w:rsid w:val="007404A2"/>
    <w:rsid w:val="00740E96"/>
    <w:rsid w:val="00744162"/>
    <w:rsid w:val="00745F02"/>
    <w:rsid w:val="00747B0D"/>
    <w:rsid w:val="00750FB8"/>
    <w:rsid w:val="00753D36"/>
    <w:rsid w:val="0075656A"/>
    <w:rsid w:val="007567A3"/>
    <w:rsid w:val="00756CD5"/>
    <w:rsid w:val="00771EB9"/>
    <w:rsid w:val="00776B08"/>
    <w:rsid w:val="00776EB8"/>
    <w:rsid w:val="007806D2"/>
    <w:rsid w:val="0078360B"/>
    <w:rsid w:val="00783883"/>
    <w:rsid w:val="00784DE8"/>
    <w:rsid w:val="007859F2"/>
    <w:rsid w:val="00786047"/>
    <w:rsid w:val="00786924"/>
    <w:rsid w:val="0079103E"/>
    <w:rsid w:val="00792433"/>
    <w:rsid w:val="00793F0C"/>
    <w:rsid w:val="00794B8A"/>
    <w:rsid w:val="00795528"/>
    <w:rsid w:val="00795677"/>
    <w:rsid w:val="007963D5"/>
    <w:rsid w:val="00796993"/>
    <w:rsid w:val="0079768E"/>
    <w:rsid w:val="007A0276"/>
    <w:rsid w:val="007A0E43"/>
    <w:rsid w:val="007A2D69"/>
    <w:rsid w:val="007A3C9A"/>
    <w:rsid w:val="007A7B28"/>
    <w:rsid w:val="007B2564"/>
    <w:rsid w:val="007C0167"/>
    <w:rsid w:val="007C0A2C"/>
    <w:rsid w:val="007C1A51"/>
    <w:rsid w:val="007C35D5"/>
    <w:rsid w:val="007C413D"/>
    <w:rsid w:val="007C43F5"/>
    <w:rsid w:val="007C7598"/>
    <w:rsid w:val="007D1583"/>
    <w:rsid w:val="007D1808"/>
    <w:rsid w:val="007D46FA"/>
    <w:rsid w:val="007D7E63"/>
    <w:rsid w:val="007E0923"/>
    <w:rsid w:val="007E4A68"/>
    <w:rsid w:val="007E4F26"/>
    <w:rsid w:val="007E61F3"/>
    <w:rsid w:val="007F29A1"/>
    <w:rsid w:val="007F7332"/>
    <w:rsid w:val="007F7426"/>
    <w:rsid w:val="007F7A34"/>
    <w:rsid w:val="0080098C"/>
    <w:rsid w:val="00805C6A"/>
    <w:rsid w:val="008077E5"/>
    <w:rsid w:val="00813598"/>
    <w:rsid w:val="008137CD"/>
    <w:rsid w:val="008212A6"/>
    <w:rsid w:val="008217C2"/>
    <w:rsid w:val="0082575D"/>
    <w:rsid w:val="00826E8B"/>
    <w:rsid w:val="008304F5"/>
    <w:rsid w:val="00830DAA"/>
    <w:rsid w:val="00832185"/>
    <w:rsid w:val="0083556C"/>
    <w:rsid w:val="00850207"/>
    <w:rsid w:val="00850AC5"/>
    <w:rsid w:val="00855E2F"/>
    <w:rsid w:val="00870551"/>
    <w:rsid w:val="0087056F"/>
    <w:rsid w:val="00871308"/>
    <w:rsid w:val="00872312"/>
    <w:rsid w:val="00873B95"/>
    <w:rsid w:val="008766FD"/>
    <w:rsid w:val="00877A18"/>
    <w:rsid w:val="00880DF3"/>
    <w:rsid w:val="00890335"/>
    <w:rsid w:val="0089143D"/>
    <w:rsid w:val="00894387"/>
    <w:rsid w:val="00897A83"/>
    <w:rsid w:val="008B0F15"/>
    <w:rsid w:val="008B2C37"/>
    <w:rsid w:val="008B49FF"/>
    <w:rsid w:val="008B541B"/>
    <w:rsid w:val="008C1E6A"/>
    <w:rsid w:val="008C3E4B"/>
    <w:rsid w:val="008C46FC"/>
    <w:rsid w:val="008D263C"/>
    <w:rsid w:val="008D512A"/>
    <w:rsid w:val="008D5179"/>
    <w:rsid w:val="008E04B6"/>
    <w:rsid w:val="008E58E4"/>
    <w:rsid w:val="008E7877"/>
    <w:rsid w:val="008F0869"/>
    <w:rsid w:val="008F12D7"/>
    <w:rsid w:val="008F3A9E"/>
    <w:rsid w:val="00901FA1"/>
    <w:rsid w:val="00903F93"/>
    <w:rsid w:val="00907346"/>
    <w:rsid w:val="00911270"/>
    <w:rsid w:val="00911DB3"/>
    <w:rsid w:val="00914F80"/>
    <w:rsid w:val="00916820"/>
    <w:rsid w:val="00921F7B"/>
    <w:rsid w:val="00927B01"/>
    <w:rsid w:val="00931282"/>
    <w:rsid w:val="009407D8"/>
    <w:rsid w:val="00943CAB"/>
    <w:rsid w:val="00943D22"/>
    <w:rsid w:val="0094439D"/>
    <w:rsid w:val="00946EA2"/>
    <w:rsid w:val="00947BAC"/>
    <w:rsid w:val="00951B27"/>
    <w:rsid w:val="00951F5A"/>
    <w:rsid w:val="00953039"/>
    <w:rsid w:val="00953B4C"/>
    <w:rsid w:val="00955DDE"/>
    <w:rsid w:val="00956753"/>
    <w:rsid w:val="00957A55"/>
    <w:rsid w:val="00957BE0"/>
    <w:rsid w:val="00963638"/>
    <w:rsid w:val="0096403E"/>
    <w:rsid w:val="00965D14"/>
    <w:rsid w:val="00971E9F"/>
    <w:rsid w:val="00976233"/>
    <w:rsid w:val="0098006F"/>
    <w:rsid w:val="00981745"/>
    <w:rsid w:val="00981B37"/>
    <w:rsid w:val="00981C73"/>
    <w:rsid w:val="00984BC8"/>
    <w:rsid w:val="009944B9"/>
    <w:rsid w:val="009A72A2"/>
    <w:rsid w:val="009A7A06"/>
    <w:rsid w:val="009B1A34"/>
    <w:rsid w:val="009B1FED"/>
    <w:rsid w:val="009B3FBF"/>
    <w:rsid w:val="009B6785"/>
    <w:rsid w:val="009C099D"/>
    <w:rsid w:val="009C0C06"/>
    <w:rsid w:val="009C2708"/>
    <w:rsid w:val="009C6E65"/>
    <w:rsid w:val="009D055F"/>
    <w:rsid w:val="009D1AB2"/>
    <w:rsid w:val="009D1CAD"/>
    <w:rsid w:val="009D2DDD"/>
    <w:rsid w:val="009D562C"/>
    <w:rsid w:val="009E737A"/>
    <w:rsid w:val="009F0014"/>
    <w:rsid w:val="009F1618"/>
    <w:rsid w:val="009F1FDD"/>
    <w:rsid w:val="009F4F53"/>
    <w:rsid w:val="009F59ED"/>
    <w:rsid w:val="009F7A7E"/>
    <w:rsid w:val="00A02313"/>
    <w:rsid w:val="00A047F3"/>
    <w:rsid w:val="00A06AAC"/>
    <w:rsid w:val="00A11901"/>
    <w:rsid w:val="00A17104"/>
    <w:rsid w:val="00A25FD3"/>
    <w:rsid w:val="00A30CAA"/>
    <w:rsid w:val="00A31A70"/>
    <w:rsid w:val="00A333E7"/>
    <w:rsid w:val="00A3508D"/>
    <w:rsid w:val="00A41EDB"/>
    <w:rsid w:val="00A42990"/>
    <w:rsid w:val="00A42ECC"/>
    <w:rsid w:val="00A46172"/>
    <w:rsid w:val="00A54739"/>
    <w:rsid w:val="00A553B4"/>
    <w:rsid w:val="00A55939"/>
    <w:rsid w:val="00A56914"/>
    <w:rsid w:val="00A635EB"/>
    <w:rsid w:val="00A643C4"/>
    <w:rsid w:val="00A730CF"/>
    <w:rsid w:val="00A73348"/>
    <w:rsid w:val="00A734C0"/>
    <w:rsid w:val="00A73F62"/>
    <w:rsid w:val="00A77066"/>
    <w:rsid w:val="00A77DCC"/>
    <w:rsid w:val="00A8015B"/>
    <w:rsid w:val="00A803D8"/>
    <w:rsid w:val="00A823A5"/>
    <w:rsid w:val="00A8390D"/>
    <w:rsid w:val="00A84CC7"/>
    <w:rsid w:val="00A86164"/>
    <w:rsid w:val="00A86C1F"/>
    <w:rsid w:val="00A87843"/>
    <w:rsid w:val="00AA374A"/>
    <w:rsid w:val="00AA6277"/>
    <w:rsid w:val="00AB0B24"/>
    <w:rsid w:val="00AB3E7F"/>
    <w:rsid w:val="00AB72EC"/>
    <w:rsid w:val="00AC019D"/>
    <w:rsid w:val="00AC3816"/>
    <w:rsid w:val="00AC6D0F"/>
    <w:rsid w:val="00AD1306"/>
    <w:rsid w:val="00AD23B8"/>
    <w:rsid w:val="00AD2F42"/>
    <w:rsid w:val="00AD50FD"/>
    <w:rsid w:val="00AE235D"/>
    <w:rsid w:val="00B013D1"/>
    <w:rsid w:val="00B023A5"/>
    <w:rsid w:val="00B03D1E"/>
    <w:rsid w:val="00B05984"/>
    <w:rsid w:val="00B072F9"/>
    <w:rsid w:val="00B11805"/>
    <w:rsid w:val="00B156C0"/>
    <w:rsid w:val="00B1586B"/>
    <w:rsid w:val="00B22C8A"/>
    <w:rsid w:val="00B26261"/>
    <w:rsid w:val="00B301AC"/>
    <w:rsid w:val="00B303A9"/>
    <w:rsid w:val="00B32BCC"/>
    <w:rsid w:val="00B34B67"/>
    <w:rsid w:val="00B3628B"/>
    <w:rsid w:val="00B36736"/>
    <w:rsid w:val="00B371FA"/>
    <w:rsid w:val="00B435D1"/>
    <w:rsid w:val="00B43A0D"/>
    <w:rsid w:val="00B4495F"/>
    <w:rsid w:val="00B50F88"/>
    <w:rsid w:val="00B51C1C"/>
    <w:rsid w:val="00B52263"/>
    <w:rsid w:val="00B534D1"/>
    <w:rsid w:val="00B53B83"/>
    <w:rsid w:val="00B61100"/>
    <w:rsid w:val="00B62192"/>
    <w:rsid w:val="00B63BAE"/>
    <w:rsid w:val="00B64280"/>
    <w:rsid w:val="00B67A56"/>
    <w:rsid w:val="00B70CA7"/>
    <w:rsid w:val="00B74D9B"/>
    <w:rsid w:val="00B751A5"/>
    <w:rsid w:val="00B774C3"/>
    <w:rsid w:val="00B81758"/>
    <w:rsid w:val="00B83AAD"/>
    <w:rsid w:val="00B84183"/>
    <w:rsid w:val="00B84821"/>
    <w:rsid w:val="00B9042C"/>
    <w:rsid w:val="00B95BE9"/>
    <w:rsid w:val="00B97EAE"/>
    <w:rsid w:val="00BA03B2"/>
    <w:rsid w:val="00BA304C"/>
    <w:rsid w:val="00BA651A"/>
    <w:rsid w:val="00BB0549"/>
    <w:rsid w:val="00BB23B3"/>
    <w:rsid w:val="00BC0E0F"/>
    <w:rsid w:val="00BC1F8A"/>
    <w:rsid w:val="00BC302F"/>
    <w:rsid w:val="00BC33A9"/>
    <w:rsid w:val="00BC35EC"/>
    <w:rsid w:val="00BC5565"/>
    <w:rsid w:val="00BC7E6E"/>
    <w:rsid w:val="00BD1F64"/>
    <w:rsid w:val="00BD4C48"/>
    <w:rsid w:val="00BD722F"/>
    <w:rsid w:val="00BD7562"/>
    <w:rsid w:val="00BE1599"/>
    <w:rsid w:val="00BE341F"/>
    <w:rsid w:val="00BE3C91"/>
    <w:rsid w:val="00BE44B3"/>
    <w:rsid w:val="00BE4A93"/>
    <w:rsid w:val="00BF0D1B"/>
    <w:rsid w:val="00BF1E3A"/>
    <w:rsid w:val="00C10136"/>
    <w:rsid w:val="00C12FED"/>
    <w:rsid w:val="00C13C06"/>
    <w:rsid w:val="00C14192"/>
    <w:rsid w:val="00C15DEC"/>
    <w:rsid w:val="00C178F6"/>
    <w:rsid w:val="00C21301"/>
    <w:rsid w:val="00C250C7"/>
    <w:rsid w:val="00C274A3"/>
    <w:rsid w:val="00C361A2"/>
    <w:rsid w:val="00C36C43"/>
    <w:rsid w:val="00C41D8E"/>
    <w:rsid w:val="00C437AB"/>
    <w:rsid w:val="00C44059"/>
    <w:rsid w:val="00C46DC7"/>
    <w:rsid w:val="00C47C7F"/>
    <w:rsid w:val="00C62D36"/>
    <w:rsid w:val="00C71359"/>
    <w:rsid w:val="00C7204C"/>
    <w:rsid w:val="00C72E17"/>
    <w:rsid w:val="00C73520"/>
    <w:rsid w:val="00C74B09"/>
    <w:rsid w:val="00C74CDF"/>
    <w:rsid w:val="00C80BE7"/>
    <w:rsid w:val="00C83CF3"/>
    <w:rsid w:val="00C87479"/>
    <w:rsid w:val="00C87764"/>
    <w:rsid w:val="00C91532"/>
    <w:rsid w:val="00C92AD3"/>
    <w:rsid w:val="00CA07F6"/>
    <w:rsid w:val="00CA626C"/>
    <w:rsid w:val="00CA76F9"/>
    <w:rsid w:val="00CB13F2"/>
    <w:rsid w:val="00CB54EC"/>
    <w:rsid w:val="00CB618E"/>
    <w:rsid w:val="00CC1283"/>
    <w:rsid w:val="00CC467D"/>
    <w:rsid w:val="00CD1A12"/>
    <w:rsid w:val="00CD2041"/>
    <w:rsid w:val="00CD29F2"/>
    <w:rsid w:val="00CD6B66"/>
    <w:rsid w:val="00CE1134"/>
    <w:rsid w:val="00CE2051"/>
    <w:rsid w:val="00CE3553"/>
    <w:rsid w:val="00CE6824"/>
    <w:rsid w:val="00CF361A"/>
    <w:rsid w:val="00CF37CC"/>
    <w:rsid w:val="00CF6387"/>
    <w:rsid w:val="00CF6B0A"/>
    <w:rsid w:val="00CF794F"/>
    <w:rsid w:val="00D07454"/>
    <w:rsid w:val="00D106DE"/>
    <w:rsid w:val="00D110C6"/>
    <w:rsid w:val="00D13E84"/>
    <w:rsid w:val="00D1679D"/>
    <w:rsid w:val="00D1760A"/>
    <w:rsid w:val="00D206DE"/>
    <w:rsid w:val="00D21E26"/>
    <w:rsid w:val="00D26678"/>
    <w:rsid w:val="00D30DFD"/>
    <w:rsid w:val="00D338EE"/>
    <w:rsid w:val="00D3427A"/>
    <w:rsid w:val="00D360E3"/>
    <w:rsid w:val="00D37562"/>
    <w:rsid w:val="00D40095"/>
    <w:rsid w:val="00D4061B"/>
    <w:rsid w:val="00D41450"/>
    <w:rsid w:val="00D46334"/>
    <w:rsid w:val="00D47350"/>
    <w:rsid w:val="00D478C9"/>
    <w:rsid w:val="00D47B8A"/>
    <w:rsid w:val="00D51E83"/>
    <w:rsid w:val="00D53DDE"/>
    <w:rsid w:val="00D56126"/>
    <w:rsid w:val="00D63C9A"/>
    <w:rsid w:val="00D66677"/>
    <w:rsid w:val="00D701A9"/>
    <w:rsid w:val="00D72154"/>
    <w:rsid w:val="00D738A6"/>
    <w:rsid w:val="00D74A15"/>
    <w:rsid w:val="00D75DA4"/>
    <w:rsid w:val="00D75F07"/>
    <w:rsid w:val="00D86595"/>
    <w:rsid w:val="00D87767"/>
    <w:rsid w:val="00D90518"/>
    <w:rsid w:val="00D91666"/>
    <w:rsid w:val="00D925FF"/>
    <w:rsid w:val="00D96CC1"/>
    <w:rsid w:val="00DA0BD5"/>
    <w:rsid w:val="00DA6C43"/>
    <w:rsid w:val="00DB25AE"/>
    <w:rsid w:val="00DC0EF6"/>
    <w:rsid w:val="00DC322E"/>
    <w:rsid w:val="00DC3AC7"/>
    <w:rsid w:val="00DC4423"/>
    <w:rsid w:val="00DC7B00"/>
    <w:rsid w:val="00DD223B"/>
    <w:rsid w:val="00DD3986"/>
    <w:rsid w:val="00DD3A10"/>
    <w:rsid w:val="00DD5EDD"/>
    <w:rsid w:val="00DE1190"/>
    <w:rsid w:val="00DE1E53"/>
    <w:rsid w:val="00DE37E5"/>
    <w:rsid w:val="00DE4E77"/>
    <w:rsid w:val="00DF1305"/>
    <w:rsid w:val="00DF2AC1"/>
    <w:rsid w:val="00DF30B4"/>
    <w:rsid w:val="00DF50E9"/>
    <w:rsid w:val="00DF60FE"/>
    <w:rsid w:val="00E058C8"/>
    <w:rsid w:val="00E05B27"/>
    <w:rsid w:val="00E06CBE"/>
    <w:rsid w:val="00E07E1E"/>
    <w:rsid w:val="00E168E4"/>
    <w:rsid w:val="00E17210"/>
    <w:rsid w:val="00E20413"/>
    <w:rsid w:val="00E22646"/>
    <w:rsid w:val="00E24509"/>
    <w:rsid w:val="00E25A4C"/>
    <w:rsid w:val="00E2648E"/>
    <w:rsid w:val="00E26602"/>
    <w:rsid w:val="00E3010C"/>
    <w:rsid w:val="00E316E4"/>
    <w:rsid w:val="00E375BF"/>
    <w:rsid w:val="00E400A1"/>
    <w:rsid w:val="00E408D1"/>
    <w:rsid w:val="00E46A41"/>
    <w:rsid w:val="00E51AF5"/>
    <w:rsid w:val="00E52A85"/>
    <w:rsid w:val="00E56169"/>
    <w:rsid w:val="00E66B7E"/>
    <w:rsid w:val="00E80700"/>
    <w:rsid w:val="00E82C4D"/>
    <w:rsid w:val="00E84220"/>
    <w:rsid w:val="00E85CF1"/>
    <w:rsid w:val="00E86656"/>
    <w:rsid w:val="00E94846"/>
    <w:rsid w:val="00E958B4"/>
    <w:rsid w:val="00E96B1D"/>
    <w:rsid w:val="00EA06AA"/>
    <w:rsid w:val="00EA3F94"/>
    <w:rsid w:val="00EA5FC9"/>
    <w:rsid w:val="00EA758E"/>
    <w:rsid w:val="00EB2B9C"/>
    <w:rsid w:val="00EB38CA"/>
    <w:rsid w:val="00EB49B5"/>
    <w:rsid w:val="00EC1D17"/>
    <w:rsid w:val="00EC3F64"/>
    <w:rsid w:val="00EE34E7"/>
    <w:rsid w:val="00EE43ED"/>
    <w:rsid w:val="00EE4C25"/>
    <w:rsid w:val="00EE54A4"/>
    <w:rsid w:val="00EE5600"/>
    <w:rsid w:val="00EE5F47"/>
    <w:rsid w:val="00EE6136"/>
    <w:rsid w:val="00EF0165"/>
    <w:rsid w:val="00EF0BA3"/>
    <w:rsid w:val="00EF5103"/>
    <w:rsid w:val="00F001EE"/>
    <w:rsid w:val="00F02DD6"/>
    <w:rsid w:val="00F050EA"/>
    <w:rsid w:val="00F061A8"/>
    <w:rsid w:val="00F10CA0"/>
    <w:rsid w:val="00F1180F"/>
    <w:rsid w:val="00F17574"/>
    <w:rsid w:val="00F17613"/>
    <w:rsid w:val="00F20A65"/>
    <w:rsid w:val="00F2208B"/>
    <w:rsid w:val="00F22FD2"/>
    <w:rsid w:val="00F23EA2"/>
    <w:rsid w:val="00F25883"/>
    <w:rsid w:val="00F259E2"/>
    <w:rsid w:val="00F261C6"/>
    <w:rsid w:val="00F318F5"/>
    <w:rsid w:val="00F331BE"/>
    <w:rsid w:val="00F3395C"/>
    <w:rsid w:val="00F36823"/>
    <w:rsid w:val="00F40BCF"/>
    <w:rsid w:val="00F40D92"/>
    <w:rsid w:val="00F4196A"/>
    <w:rsid w:val="00F45D7B"/>
    <w:rsid w:val="00F50712"/>
    <w:rsid w:val="00F511B1"/>
    <w:rsid w:val="00F51592"/>
    <w:rsid w:val="00F54412"/>
    <w:rsid w:val="00F56DBB"/>
    <w:rsid w:val="00F579DD"/>
    <w:rsid w:val="00F6029E"/>
    <w:rsid w:val="00F63582"/>
    <w:rsid w:val="00F65266"/>
    <w:rsid w:val="00F704A0"/>
    <w:rsid w:val="00F7520B"/>
    <w:rsid w:val="00F752D6"/>
    <w:rsid w:val="00F75AF6"/>
    <w:rsid w:val="00F76289"/>
    <w:rsid w:val="00F80FD1"/>
    <w:rsid w:val="00F8247C"/>
    <w:rsid w:val="00F947D1"/>
    <w:rsid w:val="00FA1747"/>
    <w:rsid w:val="00FC106B"/>
    <w:rsid w:val="00FC6386"/>
    <w:rsid w:val="00FD50CF"/>
    <w:rsid w:val="00FD7F6F"/>
    <w:rsid w:val="00FE0F4B"/>
    <w:rsid w:val="00FE34F7"/>
    <w:rsid w:val="00FE6138"/>
    <w:rsid w:val="00FF0384"/>
    <w:rsid w:val="00FF1E39"/>
    <w:rsid w:val="00FF2CF3"/>
    <w:rsid w:val="00FF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DFB650"/>
  <w15:docId w15:val="{14FD8559-3A13-4261-8BD1-DFE643EE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DC5"/>
    <w:pPr>
      <w:widowControl/>
      <w:spacing w:after="240" w:line="240" w:lineRule="auto"/>
    </w:pPr>
    <w:rPr>
      <w:rFonts w:ascii="Times New Roman" w:hAnsi="Times New Roman"/>
      <w:sz w:val="24"/>
    </w:rPr>
  </w:style>
  <w:style w:type="paragraph" w:styleId="Heading1">
    <w:name w:val="heading 1"/>
    <w:aliases w:val="Major Headings"/>
    <w:basedOn w:val="Normal"/>
    <w:next w:val="Normal"/>
    <w:link w:val="Heading1Char"/>
    <w:uiPriority w:val="9"/>
    <w:qFormat/>
    <w:rsid w:val="00280EDB"/>
    <w:pPr>
      <w:keepNext/>
      <w:keepLines/>
      <w:pageBreakBefore/>
      <w:spacing w:before="240"/>
      <w:outlineLvl w:val="0"/>
    </w:pPr>
    <w:rPr>
      <w:b/>
      <w:sz w:val="32"/>
      <w:szCs w:val="24"/>
    </w:rPr>
  </w:style>
  <w:style w:type="paragraph" w:styleId="Heading2">
    <w:name w:val="heading 2"/>
    <w:aliases w:val="Goal Title"/>
    <w:basedOn w:val="Normal"/>
    <w:next w:val="Normal"/>
    <w:link w:val="Heading2Char"/>
    <w:uiPriority w:val="9"/>
    <w:unhideWhenUsed/>
    <w:qFormat/>
    <w:rsid w:val="00C7204C"/>
    <w:pPr>
      <w:keepNext/>
      <w:keepLines/>
      <w:spacing w:before="240"/>
      <w:outlineLvl w:val="1"/>
    </w:pPr>
    <w:rPr>
      <w:b/>
      <w:sz w:val="28"/>
      <w:szCs w:val="36"/>
    </w:rPr>
  </w:style>
  <w:style w:type="paragraph" w:styleId="Heading3">
    <w:name w:val="heading 3"/>
    <w:aliases w:val="Goal Writeup"/>
    <w:basedOn w:val="Normal"/>
    <w:next w:val="Normal"/>
    <w:link w:val="Heading3Char"/>
    <w:uiPriority w:val="9"/>
    <w:unhideWhenUsed/>
    <w:qFormat/>
    <w:rsid w:val="002E3028"/>
    <w:pPr>
      <w:keepNext/>
      <w:keepLines/>
      <w:spacing w:before="240"/>
      <w:outlineLvl w:val="2"/>
    </w:pPr>
    <w:rPr>
      <w:rFonts w:eastAsiaTheme="majorEastAsia" w:cs="Times New Roman"/>
      <w:b/>
      <w:szCs w:val="24"/>
    </w:rPr>
  </w:style>
  <w:style w:type="paragraph" w:styleId="Heading4">
    <w:name w:val="heading 4"/>
    <w:basedOn w:val="Normal"/>
    <w:next w:val="Normal"/>
    <w:link w:val="Heading4Char"/>
    <w:uiPriority w:val="9"/>
    <w:unhideWhenUsed/>
    <w:qFormat/>
    <w:rsid w:val="002A5183"/>
    <w:pPr>
      <w:keepNext/>
      <w:keepLines/>
      <w:spacing w:before="240" w:after="0"/>
      <w:outlineLvl w:val="3"/>
    </w:pPr>
    <w:rPr>
      <w:rFonts w:eastAsiaTheme="majorEastAsia" w:cs="Times New Roman"/>
      <w:b/>
      <w:iCs/>
    </w:rPr>
  </w:style>
  <w:style w:type="paragraph" w:styleId="Heading5">
    <w:name w:val="heading 5"/>
    <w:basedOn w:val="Normal"/>
    <w:next w:val="Normal"/>
    <w:link w:val="Heading5Char"/>
    <w:uiPriority w:val="9"/>
    <w:unhideWhenUsed/>
    <w:qFormat/>
    <w:rsid w:val="00B95BE9"/>
    <w:pPr>
      <w:keepNext/>
      <w:keepLines/>
      <w:spacing w:before="2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qFormat/>
    <w:rsid w:val="00D3427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D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DD6"/>
    <w:rPr>
      <w:rFonts w:ascii="Tahoma" w:hAnsi="Tahoma" w:cs="Tahoma"/>
      <w:sz w:val="16"/>
      <w:szCs w:val="16"/>
    </w:rPr>
  </w:style>
  <w:style w:type="table" w:styleId="TableGrid">
    <w:name w:val="Table Grid"/>
    <w:basedOn w:val="TableNormal"/>
    <w:uiPriority w:val="39"/>
    <w:rsid w:val="005D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F53"/>
    <w:pPr>
      <w:ind w:left="720"/>
      <w:contextualSpacing/>
    </w:pPr>
  </w:style>
  <w:style w:type="character" w:styleId="CommentReference">
    <w:name w:val="annotation reference"/>
    <w:basedOn w:val="DefaultParagraphFont"/>
    <w:uiPriority w:val="99"/>
    <w:semiHidden/>
    <w:unhideWhenUsed/>
    <w:rsid w:val="00462984"/>
    <w:rPr>
      <w:sz w:val="16"/>
      <w:szCs w:val="16"/>
    </w:rPr>
  </w:style>
  <w:style w:type="paragraph" w:styleId="CommentText">
    <w:name w:val="annotation text"/>
    <w:basedOn w:val="Normal"/>
    <w:link w:val="CommentTextChar"/>
    <w:uiPriority w:val="99"/>
    <w:unhideWhenUsed/>
    <w:rsid w:val="00462984"/>
    <w:rPr>
      <w:sz w:val="20"/>
      <w:szCs w:val="20"/>
    </w:rPr>
  </w:style>
  <w:style w:type="character" w:customStyle="1" w:styleId="CommentTextChar">
    <w:name w:val="Comment Text Char"/>
    <w:basedOn w:val="DefaultParagraphFont"/>
    <w:link w:val="CommentText"/>
    <w:uiPriority w:val="99"/>
    <w:rsid w:val="00462984"/>
    <w:rPr>
      <w:sz w:val="20"/>
      <w:szCs w:val="20"/>
    </w:rPr>
  </w:style>
  <w:style w:type="paragraph" w:styleId="CommentSubject">
    <w:name w:val="annotation subject"/>
    <w:basedOn w:val="CommentText"/>
    <w:next w:val="CommentText"/>
    <w:link w:val="CommentSubjectChar"/>
    <w:uiPriority w:val="99"/>
    <w:semiHidden/>
    <w:unhideWhenUsed/>
    <w:rsid w:val="00462984"/>
    <w:rPr>
      <w:b/>
      <w:bCs/>
    </w:rPr>
  </w:style>
  <w:style w:type="character" w:customStyle="1" w:styleId="CommentSubjectChar">
    <w:name w:val="Comment Subject Char"/>
    <w:basedOn w:val="CommentTextChar"/>
    <w:link w:val="CommentSubject"/>
    <w:uiPriority w:val="99"/>
    <w:semiHidden/>
    <w:rsid w:val="00462984"/>
    <w:rPr>
      <w:b/>
      <w:bCs/>
      <w:sz w:val="20"/>
      <w:szCs w:val="20"/>
    </w:rPr>
  </w:style>
  <w:style w:type="paragraph" w:styleId="FootnoteText">
    <w:name w:val="footnote text"/>
    <w:basedOn w:val="Normal"/>
    <w:link w:val="FootnoteTextChar"/>
    <w:uiPriority w:val="99"/>
    <w:unhideWhenUsed/>
    <w:rsid w:val="0079103E"/>
    <w:pPr>
      <w:spacing w:after="0"/>
    </w:pPr>
    <w:rPr>
      <w:sz w:val="20"/>
      <w:szCs w:val="20"/>
    </w:rPr>
  </w:style>
  <w:style w:type="character" w:customStyle="1" w:styleId="FootnoteTextChar">
    <w:name w:val="Footnote Text Char"/>
    <w:basedOn w:val="DefaultParagraphFont"/>
    <w:link w:val="FootnoteText"/>
    <w:uiPriority w:val="99"/>
    <w:rsid w:val="0079103E"/>
    <w:rPr>
      <w:sz w:val="20"/>
      <w:szCs w:val="20"/>
    </w:rPr>
  </w:style>
  <w:style w:type="character" w:styleId="FootnoteReference">
    <w:name w:val="footnote reference"/>
    <w:basedOn w:val="DefaultParagraphFont"/>
    <w:uiPriority w:val="99"/>
    <w:semiHidden/>
    <w:unhideWhenUsed/>
    <w:rsid w:val="0079103E"/>
    <w:rPr>
      <w:vertAlign w:val="superscript"/>
    </w:rPr>
  </w:style>
  <w:style w:type="character" w:styleId="Hyperlink">
    <w:name w:val="Hyperlink"/>
    <w:basedOn w:val="DefaultParagraphFont"/>
    <w:uiPriority w:val="99"/>
    <w:unhideWhenUsed/>
    <w:rsid w:val="00CF794F"/>
    <w:rPr>
      <w:color w:val="0000FF" w:themeColor="hyperlink"/>
      <w:u w:val="single"/>
    </w:rPr>
  </w:style>
  <w:style w:type="character" w:styleId="FollowedHyperlink">
    <w:name w:val="FollowedHyperlink"/>
    <w:basedOn w:val="DefaultParagraphFont"/>
    <w:uiPriority w:val="99"/>
    <w:semiHidden/>
    <w:unhideWhenUsed/>
    <w:rsid w:val="00AD50FD"/>
    <w:rPr>
      <w:color w:val="800080" w:themeColor="followedHyperlink"/>
      <w:u w:val="single"/>
    </w:rPr>
  </w:style>
  <w:style w:type="paragraph" w:styleId="Header">
    <w:name w:val="header"/>
    <w:basedOn w:val="Normal"/>
    <w:link w:val="HeaderChar"/>
    <w:uiPriority w:val="99"/>
    <w:unhideWhenUsed/>
    <w:rsid w:val="005B7FC0"/>
    <w:pPr>
      <w:tabs>
        <w:tab w:val="center" w:pos="4680"/>
        <w:tab w:val="right" w:pos="9360"/>
      </w:tabs>
      <w:spacing w:after="0"/>
    </w:pPr>
  </w:style>
  <w:style w:type="character" w:customStyle="1" w:styleId="HeaderChar">
    <w:name w:val="Header Char"/>
    <w:basedOn w:val="DefaultParagraphFont"/>
    <w:link w:val="Header"/>
    <w:uiPriority w:val="99"/>
    <w:rsid w:val="005B7FC0"/>
  </w:style>
  <w:style w:type="paragraph" w:styleId="Footer">
    <w:name w:val="footer"/>
    <w:basedOn w:val="Normal"/>
    <w:link w:val="FooterChar"/>
    <w:uiPriority w:val="99"/>
    <w:unhideWhenUsed/>
    <w:rsid w:val="005B7FC0"/>
    <w:pPr>
      <w:tabs>
        <w:tab w:val="center" w:pos="4680"/>
        <w:tab w:val="right" w:pos="9360"/>
      </w:tabs>
      <w:spacing w:after="0"/>
    </w:pPr>
  </w:style>
  <w:style w:type="character" w:customStyle="1" w:styleId="FooterChar">
    <w:name w:val="Footer Char"/>
    <w:basedOn w:val="DefaultParagraphFont"/>
    <w:link w:val="Footer"/>
    <w:uiPriority w:val="99"/>
    <w:rsid w:val="005B7FC0"/>
  </w:style>
  <w:style w:type="paragraph" w:styleId="Revision">
    <w:name w:val="Revision"/>
    <w:hidden/>
    <w:uiPriority w:val="99"/>
    <w:semiHidden/>
    <w:rsid w:val="00F56DBB"/>
    <w:pPr>
      <w:widowControl/>
      <w:spacing w:after="0" w:line="240" w:lineRule="auto"/>
    </w:pPr>
  </w:style>
  <w:style w:type="paragraph" w:styleId="NoSpacing">
    <w:name w:val="No Spacing"/>
    <w:uiPriority w:val="1"/>
    <w:qFormat/>
    <w:rsid w:val="0036064F"/>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67B3D"/>
    <w:pPr>
      <w:spacing w:after="720"/>
      <w:contextualSpacing/>
      <w:jc w:val="center"/>
    </w:pPr>
    <w:rPr>
      <w:rFonts w:asciiTheme="majorHAnsi" w:eastAsia="Times New Roman" w:hAnsiTheme="majorHAnsi" w:cstheme="majorBidi"/>
      <w:spacing w:val="-10"/>
      <w:kern w:val="28"/>
      <w:sz w:val="40"/>
      <w:szCs w:val="56"/>
    </w:rPr>
  </w:style>
  <w:style w:type="character" w:customStyle="1" w:styleId="TitleChar">
    <w:name w:val="Title Char"/>
    <w:basedOn w:val="DefaultParagraphFont"/>
    <w:link w:val="Title"/>
    <w:uiPriority w:val="10"/>
    <w:rsid w:val="00367B3D"/>
    <w:rPr>
      <w:rFonts w:asciiTheme="majorHAnsi" w:eastAsia="Times New Roman" w:hAnsiTheme="majorHAnsi" w:cstheme="majorBidi"/>
      <w:spacing w:val="-10"/>
      <w:kern w:val="28"/>
      <w:sz w:val="40"/>
      <w:szCs w:val="56"/>
    </w:rPr>
  </w:style>
  <w:style w:type="character" w:customStyle="1" w:styleId="Heading1Char">
    <w:name w:val="Heading 1 Char"/>
    <w:aliases w:val="Major Headings Char"/>
    <w:basedOn w:val="DefaultParagraphFont"/>
    <w:link w:val="Heading1"/>
    <w:uiPriority w:val="9"/>
    <w:rsid w:val="00280EDB"/>
    <w:rPr>
      <w:rFonts w:ascii="Times New Roman" w:hAnsi="Times New Roman"/>
      <w:b/>
      <w:sz w:val="32"/>
      <w:szCs w:val="24"/>
    </w:rPr>
  </w:style>
  <w:style w:type="character" w:customStyle="1" w:styleId="Heading2Char">
    <w:name w:val="Heading 2 Char"/>
    <w:aliases w:val="Goal Title Char"/>
    <w:basedOn w:val="DefaultParagraphFont"/>
    <w:link w:val="Heading2"/>
    <w:uiPriority w:val="9"/>
    <w:rsid w:val="00C7204C"/>
    <w:rPr>
      <w:rFonts w:ascii="Times New Roman" w:hAnsi="Times New Roman"/>
      <w:b/>
      <w:sz w:val="28"/>
      <w:szCs w:val="36"/>
    </w:rPr>
  </w:style>
  <w:style w:type="paragraph" w:customStyle="1" w:styleId="Table">
    <w:name w:val="Table"/>
    <w:basedOn w:val="Normal"/>
    <w:qFormat/>
    <w:rsid w:val="00386F49"/>
    <w:pPr>
      <w:spacing w:after="0"/>
    </w:pPr>
    <w:rPr>
      <w:sz w:val="22"/>
    </w:rPr>
  </w:style>
  <w:style w:type="paragraph" w:customStyle="1" w:styleId="TableStrategy">
    <w:name w:val="Table Strategy"/>
    <w:basedOn w:val="Table"/>
    <w:qFormat/>
    <w:rsid w:val="00F511B1"/>
    <w:pPr>
      <w:keepNext/>
    </w:pPr>
    <w:rPr>
      <w:b/>
    </w:rPr>
  </w:style>
  <w:style w:type="character" w:customStyle="1" w:styleId="Heading3Char">
    <w:name w:val="Heading 3 Char"/>
    <w:aliases w:val="Goal Writeup Char"/>
    <w:basedOn w:val="DefaultParagraphFont"/>
    <w:link w:val="Heading3"/>
    <w:uiPriority w:val="9"/>
    <w:rsid w:val="002E3028"/>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2A5183"/>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9"/>
    <w:rsid w:val="00B95BE9"/>
    <w:rPr>
      <w:rFonts w:asciiTheme="majorHAnsi" w:eastAsiaTheme="majorEastAsia" w:hAnsiTheme="majorHAnsi" w:cstheme="majorBidi"/>
      <w:b/>
      <w:sz w:val="24"/>
    </w:rPr>
  </w:style>
  <w:style w:type="paragraph" w:styleId="TOCHeading">
    <w:name w:val="TOC Heading"/>
    <w:basedOn w:val="Heading1"/>
    <w:next w:val="Normal"/>
    <w:uiPriority w:val="39"/>
    <w:unhideWhenUsed/>
    <w:qFormat/>
    <w:rsid w:val="004D7C57"/>
    <w:pPr>
      <w:spacing w:before="0" w:after="0"/>
      <w:jc w:val="center"/>
      <w:outlineLvl w:val="9"/>
    </w:pPr>
  </w:style>
  <w:style w:type="paragraph" w:styleId="TOC1">
    <w:name w:val="toc 1"/>
    <w:basedOn w:val="Normal"/>
    <w:next w:val="Normal"/>
    <w:autoRedefine/>
    <w:uiPriority w:val="39"/>
    <w:unhideWhenUsed/>
    <w:rsid w:val="00263174"/>
    <w:pPr>
      <w:tabs>
        <w:tab w:val="right" w:leader="dot" w:pos="10070"/>
      </w:tabs>
      <w:spacing w:after="0"/>
    </w:pPr>
    <w:rPr>
      <w:noProof/>
      <w:szCs w:val="19"/>
    </w:rPr>
  </w:style>
  <w:style w:type="paragraph" w:styleId="TOC2">
    <w:name w:val="toc 2"/>
    <w:basedOn w:val="Normal"/>
    <w:next w:val="Normal"/>
    <w:autoRedefine/>
    <w:uiPriority w:val="39"/>
    <w:unhideWhenUsed/>
    <w:rsid w:val="00263174"/>
    <w:pPr>
      <w:tabs>
        <w:tab w:val="right" w:leader="dot" w:pos="10070"/>
      </w:tabs>
      <w:spacing w:after="0"/>
      <w:ind w:left="240"/>
    </w:pPr>
    <w:rPr>
      <w:noProof/>
      <w:szCs w:val="19"/>
    </w:rPr>
  </w:style>
  <w:style w:type="paragraph" w:styleId="TOC3">
    <w:name w:val="toc 3"/>
    <w:basedOn w:val="Normal"/>
    <w:next w:val="Normal"/>
    <w:autoRedefine/>
    <w:uiPriority w:val="39"/>
    <w:unhideWhenUsed/>
    <w:rsid w:val="004D7C57"/>
    <w:pPr>
      <w:tabs>
        <w:tab w:val="right" w:leader="dot" w:pos="10070"/>
      </w:tabs>
      <w:spacing w:after="0"/>
      <w:ind w:left="480"/>
    </w:pPr>
    <w:rPr>
      <w:rFonts w:asciiTheme="minorHAnsi" w:hAnsiTheme="minorHAnsi"/>
      <w:i/>
      <w:noProof/>
      <w:sz w:val="19"/>
      <w:szCs w:val="19"/>
    </w:rPr>
  </w:style>
  <w:style w:type="paragraph" w:styleId="NormalWeb">
    <w:name w:val="Normal (Web)"/>
    <w:basedOn w:val="Normal"/>
    <w:uiPriority w:val="99"/>
    <w:semiHidden/>
    <w:unhideWhenUsed/>
    <w:rsid w:val="00C47C7F"/>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0A2448"/>
    <w:rPr>
      <w:b/>
      <w:bCs/>
    </w:rPr>
  </w:style>
  <w:style w:type="paragraph" w:customStyle="1" w:styleId="Normal1">
    <w:name w:val="Normal1"/>
    <w:rsid w:val="00D3427A"/>
    <w:pPr>
      <w:widowControl/>
      <w:spacing w:after="0"/>
    </w:pPr>
    <w:rPr>
      <w:rFonts w:ascii="Arial" w:eastAsia="Arial" w:hAnsi="Arial" w:cs="Arial"/>
      <w:color w:val="000000"/>
    </w:rPr>
  </w:style>
  <w:style w:type="character" w:customStyle="1" w:styleId="Heading6Char">
    <w:name w:val="Heading 6 Char"/>
    <w:basedOn w:val="DefaultParagraphFont"/>
    <w:link w:val="Heading6"/>
    <w:uiPriority w:val="9"/>
    <w:rsid w:val="00D3427A"/>
    <w:rPr>
      <w:rFonts w:asciiTheme="majorHAnsi" w:eastAsiaTheme="majorEastAsia" w:hAnsiTheme="majorHAnsi" w:cstheme="majorBidi"/>
      <w:color w:val="243F60" w:themeColor="accent1" w:themeShade="7F"/>
      <w:sz w:val="24"/>
    </w:rPr>
  </w:style>
  <w:style w:type="character" w:customStyle="1" w:styleId="tgc">
    <w:name w:val="_tgc"/>
    <w:basedOn w:val="DefaultParagraphFont"/>
    <w:rsid w:val="0078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741821">
      <w:bodyDiv w:val="1"/>
      <w:marLeft w:val="0"/>
      <w:marRight w:val="0"/>
      <w:marTop w:val="0"/>
      <w:marBottom w:val="0"/>
      <w:divBdr>
        <w:top w:val="none" w:sz="0" w:space="0" w:color="auto"/>
        <w:left w:val="none" w:sz="0" w:space="0" w:color="auto"/>
        <w:bottom w:val="none" w:sz="0" w:space="0" w:color="auto"/>
        <w:right w:val="none" w:sz="0" w:space="0" w:color="auto"/>
      </w:divBdr>
    </w:div>
    <w:div w:id="1429421168">
      <w:bodyDiv w:val="1"/>
      <w:marLeft w:val="0"/>
      <w:marRight w:val="0"/>
      <w:marTop w:val="0"/>
      <w:marBottom w:val="0"/>
      <w:divBdr>
        <w:top w:val="none" w:sz="0" w:space="0" w:color="auto"/>
        <w:left w:val="none" w:sz="0" w:space="0" w:color="auto"/>
        <w:bottom w:val="none" w:sz="0" w:space="0" w:color="auto"/>
        <w:right w:val="none" w:sz="0" w:space="0" w:color="auto"/>
      </w:divBdr>
    </w:div>
    <w:div w:id="1577400433">
      <w:bodyDiv w:val="1"/>
      <w:marLeft w:val="0"/>
      <w:marRight w:val="0"/>
      <w:marTop w:val="0"/>
      <w:marBottom w:val="0"/>
      <w:divBdr>
        <w:top w:val="none" w:sz="0" w:space="0" w:color="auto"/>
        <w:left w:val="none" w:sz="0" w:space="0" w:color="auto"/>
        <w:bottom w:val="none" w:sz="0" w:space="0" w:color="auto"/>
        <w:right w:val="none" w:sz="0" w:space="0" w:color="auto"/>
      </w:divBdr>
    </w:div>
    <w:div w:id="1878278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11.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noblisinc-my.sharepoint.com/personal/gus_nielsen_noblis_org/Documents/Desktop/Projects/CFT-Carbon%20Footprint%20Tool/SSA/SuMIT/SuMIT-SSA-FY16%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solidFill>
                  <a:sysClr val="windowText" lastClr="000000"/>
                </a:solidFill>
                <a:latin typeface="+mj-lt"/>
              </a:rPr>
              <a:t>Potable Water Intensity Reductions</a:t>
            </a:r>
          </a:p>
        </c:rich>
      </c:tx>
      <c:layout>
        <c:manualLayout>
          <c:xMode val="edge"/>
          <c:yMode val="edge"/>
          <c:x val="0.31607073783639761"/>
          <c:y val="2.94659300184162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859837593220245E-2"/>
          <c:y val="0.1643462246777164"/>
          <c:w val="0.89052233769465683"/>
          <c:h val="0.66476414205130441"/>
        </c:manualLayout>
      </c:layout>
      <c:lineChart>
        <c:grouping val="standard"/>
        <c:varyColors val="0"/>
        <c:ser>
          <c:idx val="0"/>
          <c:order val="0"/>
          <c:spPr>
            <a:ln w="28575" cap="rnd">
              <a:solidFill>
                <a:srgbClr val="4D7620"/>
              </a:solidFill>
              <a:round/>
            </a:ln>
            <a:effectLst/>
          </c:spPr>
          <c:marker>
            <c:symbol val="circle"/>
            <c:size val="7"/>
            <c:spPr>
              <a:solidFill>
                <a:srgbClr val="4D7620"/>
              </a:solidFill>
              <a:ln w="9525">
                <a:solidFill>
                  <a:srgbClr val="002060"/>
                </a:solidFill>
              </a:ln>
              <a:effectLst/>
            </c:spPr>
          </c:marker>
          <c:dPt>
            <c:idx val="0"/>
            <c:marker>
              <c:symbol val="circle"/>
              <c:size val="7"/>
              <c:spPr>
                <a:solidFill>
                  <a:srgbClr val="0070C0"/>
                </a:solidFill>
                <a:ln w="9525">
                  <a:solidFill>
                    <a:srgbClr val="002060"/>
                  </a:solidFill>
                </a:ln>
                <a:effectLst/>
              </c:spPr>
            </c:marker>
            <c:bubble3D val="0"/>
            <c:extLst>
              <c:ext xmlns:c16="http://schemas.microsoft.com/office/drawing/2014/chart" uri="{C3380CC4-5D6E-409C-BE32-E72D297353CC}">
                <c16:uniqueId val="{00000000-4E01-4AA2-9628-5C0D935760B4}"/>
              </c:ext>
            </c:extLst>
          </c:dPt>
          <c:dPt>
            <c:idx val="1"/>
            <c:marker>
              <c:symbol val="circle"/>
              <c:size val="7"/>
              <c:spPr>
                <a:solidFill>
                  <a:srgbClr val="0070C0"/>
                </a:solidFill>
                <a:ln w="9525">
                  <a:solidFill>
                    <a:srgbClr val="002060"/>
                  </a:solidFill>
                </a:ln>
                <a:effectLst/>
              </c:spPr>
            </c:marker>
            <c:bubble3D val="0"/>
            <c:spPr>
              <a:ln w="28575" cap="rnd">
                <a:solidFill>
                  <a:srgbClr val="0070C0"/>
                </a:solidFill>
                <a:round/>
              </a:ln>
              <a:effectLst/>
            </c:spPr>
            <c:extLst>
              <c:ext xmlns:c16="http://schemas.microsoft.com/office/drawing/2014/chart" uri="{C3380CC4-5D6E-409C-BE32-E72D297353CC}">
                <c16:uniqueId val="{00000002-4E01-4AA2-9628-5C0D935760B4}"/>
              </c:ext>
            </c:extLst>
          </c:dPt>
          <c:dPt>
            <c:idx val="2"/>
            <c:marker>
              <c:symbol val="circle"/>
              <c:size val="7"/>
              <c:spPr>
                <a:solidFill>
                  <a:srgbClr val="0070C0"/>
                </a:solidFill>
                <a:ln w="9525">
                  <a:solidFill>
                    <a:srgbClr val="002060"/>
                  </a:solidFill>
                </a:ln>
                <a:effectLst/>
              </c:spPr>
            </c:marker>
            <c:bubble3D val="0"/>
            <c:spPr>
              <a:ln w="28575" cap="rnd">
                <a:solidFill>
                  <a:srgbClr val="0070C0"/>
                </a:solidFill>
                <a:round/>
              </a:ln>
              <a:effectLst/>
            </c:spPr>
            <c:extLst>
              <c:ext xmlns:c16="http://schemas.microsoft.com/office/drawing/2014/chart" uri="{C3380CC4-5D6E-409C-BE32-E72D297353CC}">
                <c16:uniqueId val="{00000004-4E01-4AA2-9628-5C0D935760B4}"/>
              </c:ext>
            </c:extLst>
          </c:dPt>
          <c:dPt>
            <c:idx val="3"/>
            <c:marker>
              <c:symbol val="circle"/>
              <c:size val="7"/>
              <c:spPr>
                <a:solidFill>
                  <a:srgbClr val="0070C0"/>
                </a:solidFill>
                <a:ln w="9525">
                  <a:solidFill>
                    <a:srgbClr val="002060"/>
                  </a:solidFill>
                </a:ln>
                <a:effectLst/>
              </c:spPr>
            </c:marker>
            <c:bubble3D val="0"/>
            <c:spPr>
              <a:ln w="28575" cap="rnd">
                <a:solidFill>
                  <a:srgbClr val="0070C0"/>
                </a:solidFill>
                <a:round/>
              </a:ln>
              <a:effectLst/>
            </c:spPr>
            <c:extLst>
              <c:ext xmlns:c16="http://schemas.microsoft.com/office/drawing/2014/chart" uri="{C3380CC4-5D6E-409C-BE32-E72D297353CC}">
                <c16:uniqueId val="{00000006-4E01-4AA2-9628-5C0D935760B4}"/>
              </c:ext>
            </c:extLst>
          </c:dPt>
          <c:dPt>
            <c:idx val="4"/>
            <c:marker>
              <c:symbol val="circle"/>
              <c:size val="7"/>
              <c:spPr>
                <a:solidFill>
                  <a:srgbClr val="0070C0"/>
                </a:solidFill>
                <a:ln w="9525">
                  <a:solidFill>
                    <a:srgbClr val="002060"/>
                  </a:solidFill>
                </a:ln>
                <a:effectLst/>
              </c:spPr>
            </c:marker>
            <c:bubble3D val="0"/>
            <c:spPr>
              <a:ln w="28575" cap="rnd">
                <a:solidFill>
                  <a:srgbClr val="0070C0"/>
                </a:solidFill>
                <a:round/>
              </a:ln>
              <a:effectLst/>
            </c:spPr>
            <c:extLst>
              <c:ext xmlns:c16="http://schemas.microsoft.com/office/drawing/2014/chart" uri="{C3380CC4-5D6E-409C-BE32-E72D297353CC}">
                <c16:uniqueId val="{00000008-4E01-4AA2-9628-5C0D935760B4}"/>
              </c:ext>
            </c:extLst>
          </c:dPt>
          <c:dPt>
            <c:idx val="5"/>
            <c:marker>
              <c:symbol val="circle"/>
              <c:size val="7"/>
              <c:spPr>
                <a:solidFill>
                  <a:srgbClr val="0070C0"/>
                </a:solidFill>
                <a:ln w="9525">
                  <a:solidFill>
                    <a:srgbClr val="002060"/>
                  </a:solidFill>
                </a:ln>
                <a:effectLst/>
              </c:spPr>
            </c:marker>
            <c:bubble3D val="0"/>
            <c:spPr>
              <a:ln w="28575" cap="rnd">
                <a:solidFill>
                  <a:srgbClr val="0070C0"/>
                </a:solidFill>
                <a:round/>
              </a:ln>
              <a:effectLst/>
            </c:spPr>
            <c:extLst>
              <c:ext xmlns:c16="http://schemas.microsoft.com/office/drawing/2014/chart" uri="{C3380CC4-5D6E-409C-BE32-E72D297353CC}">
                <c16:uniqueId val="{0000000A-4E01-4AA2-9628-5C0D935760B4}"/>
              </c:ext>
            </c:extLst>
          </c:dPt>
          <c:dPt>
            <c:idx val="6"/>
            <c:marker>
              <c:symbol val="circle"/>
              <c:size val="7"/>
              <c:spPr>
                <a:solidFill>
                  <a:srgbClr val="0070C0"/>
                </a:solidFill>
                <a:ln w="9525">
                  <a:solidFill>
                    <a:schemeClr val="tx1"/>
                  </a:solidFill>
                </a:ln>
                <a:effectLst/>
              </c:spPr>
            </c:marker>
            <c:bubble3D val="0"/>
            <c:spPr>
              <a:ln w="28575" cap="rnd">
                <a:solidFill>
                  <a:srgbClr val="0070C0"/>
                </a:solidFill>
                <a:round/>
              </a:ln>
              <a:effectLst/>
            </c:spPr>
            <c:extLst>
              <c:ext xmlns:c16="http://schemas.microsoft.com/office/drawing/2014/chart" uri="{C3380CC4-5D6E-409C-BE32-E72D297353CC}">
                <c16:uniqueId val="{0000000C-4E01-4AA2-9628-5C0D935760B4}"/>
              </c:ext>
            </c:extLst>
          </c:dPt>
          <c:dPt>
            <c:idx val="7"/>
            <c:marker>
              <c:symbol val="circle"/>
              <c:size val="7"/>
              <c:spPr>
                <a:solidFill>
                  <a:srgbClr val="4D7620"/>
                </a:solidFill>
                <a:ln w="9525">
                  <a:solidFill>
                    <a:srgbClr val="002060"/>
                  </a:solidFill>
                </a:ln>
                <a:effectLst/>
              </c:spPr>
            </c:marker>
            <c:bubble3D val="0"/>
            <c:spPr>
              <a:ln w="28575" cap="rnd">
                <a:noFill/>
                <a:round/>
              </a:ln>
              <a:effectLst/>
            </c:spPr>
            <c:extLst>
              <c:ext xmlns:c16="http://schemas.microsoft.com/office/drawing/2014/chart" uri="{C3380CC4-5D6E-409C-BE32-E72D297353CC}">
                <c16:uniqueId val="{0000000E-4E01-4AA2-9628-5C0D935760B4}"/>
              </c:ext>
            </c:extLst>
          </c:dPt>
          <c:cat>
            <c:strRef>
              <c:f>Graphs!$B$13:$Q$13</c:f>
              <c:strCache>
                <c:ptCount val="16"/>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pt idx="15">
                  <c:v>FY25</c:v>
                </c:pt>
              </c:strCache>
            </c:strRef>
          </c:cat>
          <c:val>
            <c:numRef>
              <c:f>Graphs!$B$14:$Q$14</c:f>
              <c:numCache>
                <c:formatCode>0.0%</c:formatCode>
                <c:ptCount val="16"/>
                <c:pt idx="0">
                  <c:v>-0.1188045652412712</c:v>
                </c:pt>
                <c:pt idx="1">
                  <c:v>-0.10076307912257797</c:v>
                </c:pt>
                <c:pt idx="2">
                  <c:v>-0.32636543529244783</c:v>
                </c:pt>
                <c:pt idx="3">
                  <c:v>-0.4065380757533042</c:v>
                </c:pt>
                <c:pt idx="4">
                  <c:v>-0.51434609673475407</c:v>
                </c:pt>
                <c:pt idx="5">
                  <c:v>-0.47577247219750884</c:v>
                </c:pt>
                <c:pt idx="6" formatCode="0%">
                  <c:v>-0.49</c:v>
                </c:pt>
                <c:pt idx="7" formatCode="0%">
                  <c:v>-0.19999999999999998</c:v>
                </c:pt>
                <c:pt idx="8" formatCode="0%">
                  <c:v>-0.21999999999999997</c:v>
                </c:pt>
                <c:pt idx="9" formatCode="0%">
                  <c:v>-0.23999999999999996</c:v>
                </c:pt>
                <c:pt idx="10" formatCode="0%">
                  <c:v>-0.25999999999999995</c:v>
                </c:pt>
                <c:pt idx="11" formatCode="0%">
                  <c:v>-0.27999999999999997</c:v>
                </c:pt>
                <c:pt idx="12" formatCode="0%">
                  <c:v>-0.3</c:v>
                </c:pt>
                <c:pt idx="13" formatCode="0%">
                  <c:v>-0.32</c:v>
                </c:pt>
                <c:pt idx="14" formatCode="0%">
                  <c:v>-0.34</c:v>
                </c:pt>
                <c:pt idx="15" formatCode="0%">
                  <c:v>-0.36000000000000004</c:v>
                </c:pt>
              </c:numCache>
            </c:numRef>
          </c:val>
          <c:smooth val="0"/>
          <c:extLst>
            <c:ext xmlns:c16="http://schemas.microsoft.com/office/drawing/2014/chart" uri="{C3380CC4-5D6E-409C-BE32-E72D297353CC}">
              <c16:uniqueId val="{0000000F-4E01-4AA2-9628-5C0D935760B4}"/>
            </c:ext>
          </c:extLst>
        </c:ser>
        <c:dLbls>
          <c:showLegendKey val="0"/>
          <c:showVal val="0"/>
          <c:showCatName val="0"/>
          <c:showSerName val="0"/>
          <c:showPercent val="0"/>
          <c:showBubbleSize val="0"/>
        </c:dLbls>
        <c:marker val="1"/>
        <c:smooth val="0"/>
        <c:axId val="292529720"/>
        <c:axId val="295077744"/>
      </c:lineChart>
      <c:catAx>
        <c:axId val="292529720"/>
        <c:scaling>
          <c:orientation val="minMax"/>
        </c:scaling>
        <c:delete val="0"/>
        <c:axPos val="b"/>
        <c:numFmt formatCode="General" sourceLinked="1"/>
        <c:majorTickMark val="out"/>
        <c:minorTickMark val="none"/>
        <c:tickLblPos val="low"/>
        <c:spPr>
          <a:noFill/>
          <a:ln w="6350" cap="flat" cmpd="sng" algn="ctr">
            <a:solidFill>
              <a:schemeClr val="tx1">
                <a:lumMod val="50000"/>
                <a:lumOff val="50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295077744"/>
        <c:crosses val="autoZero"/>
        <c:auto val="1"/>
        <c:lblAlgn val="ctr"/>
        <c:lblOffset val="100"/>
        <c:noMultiLvlLbl val="0"/>
      </c:catAx>
      <c:valAx>
        <c:axId val="29507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292529720"/>
        <c:crosses val="autoZero"/>
        <c:crossBetween val="between"/>
      </c:valAx>
      <c:spPr>
        <a:solidFill>
          <a:schemeClr val="bg1">
            <a:lumMod val="95000"/>
          </a:schemeClr>
        </a:solidFill>
        <a:ln w="6350">
          <a:solidFill>
            <a:schemeClr val="tx1">
              <a:lumMod val="50000"/>
              <a:lumOff val="50000"/>
            </a:schemeClr>
          </a:solidFill>
        </a:ln>
        <a:effectLst/>
      </c:spPr>
    </c:plotArea>
    <c:plotVisOnly val="0"/>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0.53186</cdr:x>
      <cdr:y>0.54084</cdr:y>
    </cdr:from>
    <cdr:to>
      <cdr:x>0.81527</cdr:x>
      <cdr:y>0.81686</cdr:y>
    </cdr:to>
    <cdr:sp macro="" textlink="">
      <cdr:nvSpPr>
        <cdr:cNvPr id="2" name="TextBox 1">
          <a:extLst xmlns:a="http://schemas.openxmlformats.org/drawingml/2006/main">
            <a:ext uri="{FF2B5EF4-FFF2-40B4-BE49-F238E27FC236}">
              <a16:creationId xmlns:a16="http://schemas.microsoft.com/office/drawing/2014/main" id="{6BC1BF44-0F6C-4332-A242-E103FCAA92BD}"/>
            </a:ext>
          </a:extLst>
        </cdr:cNvPr>
        <cdr:cNvSpPr txBox="1"/>
      </cdr:nvSpPr>
      <cdr:spPr>
        <a:xfrm xmlns:a="http://schemas.openxmlformats.org/drawingml/2006/main">
          <a:off x="3368894" y="886064"/>
          <a:ext cx="1795155" cy="452199"/>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vertOverflow="clip" wrap="none" rtlCol="0"/>
        <a:lstStyle xmlns:a="http://schemas.openxmlformats.org/drawingml/2006/main"/>
        <a:p xmlns:a="http://schemas.openxmlformats.org/drawingml/2006/main">
          <a:r>
            <a:rPr lang="en-US" sz="1050" i="1"/>
            <a:t>FY16 result of 49% exceeds</a:t>
          </a:r>
        </a:p>
        <a:p xmlns:a="http://schemas.openxmlformats.org/drawingml/2006/main">
          <a:r>
            <a:rPr lang="en-US" sz="1050" i="1"/>
            <a:t>even the FY25 requirement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7507F5FD50A41A4CFE54E946877A8" ma:contentTypeVersion="0" ma:contentTypeDescription="Create a new document." ma:contentTypeScope="" ma:versionID="4d36ccc87268b54f06f5f6016d6ba5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3E9D-BF7D-4C22-8D46-E7DFBAE6FAFE}">
  <ds:schemaRefs>
    <ds:schemaRef ds:uri="http://schemas.microsoft.com/sharepoint/v3/contenttype/forms"/>
  </ds:schemaRefs>
</ds:datastoreItem>
</file>

<file path=customXml/itemProps2.xml><?xml version="1.0" encoding="utf-8"?>
<ds:datastoreItem xmlns:ds="http://schemas.openxmlformats.org/officeDocument/2006/customXml" ds:itemID="{314DAEB7-52F4-4D70-8168-3764CA2C8B56}">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83CBE465-94C5-4A51-862D-1EBECB75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8B3895-69FF-40CB-82D8-CBD9B5AD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10642</Words>
  <Characters>60662</Characters>
  <Application>Microsoft Office Word</Application>
  <DocSecurity>4</DocSecurity>
  <Lines>505</Lines>
  <Paragraphs>142</Paragraphs>
  <ScaleCrop>false</ScaleCrop>
  <HeadingPairs>
    <vt:vector size="2" baseType="variant">
      <vt:variant>
        <vt:lpstr>Title</vt:lpstr>
      </vt:variant>
      <vt:variant>
        <vt:i4>1</vt:i4>
      </vt:variant>
    </vt:vector>
  </HeadingPairs>
  <TitlesOfParts>
    <vt:vector size="1" baseType="lpstr">
      <vt:lpstr>General Services Adminiatratio2012 Strategicainability Performance Plan</vt:lpstr>
    </vt:vector>
  </TitlesOfParts>
  <Company>EOP</Company>
  <LinksUpToDate>false</LinksUpToDate>
  <CharactersWithSpaces>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Services Adminiatratio2012 Strategicainability Performance Plan</dc:title>
  <dc:creator>User</dc:creator>
  <cp:lastModifiedBy>Frye, Linda</cp:lastModifiedBy>
  <cp:revision>2</cp:revision>
  <cp:lastPrinted>2017-06-29T11:55:00Z</cp:lastPrinted>
  <dcterms:created xsi:type="dcterms:W3CDTF">2019-02-04T18:55:00Z</dcterms:created>
  <dcterms:modified xsi:type="dcterms:W3CDTF">2019-02-04T18:55:00Z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2013-05-15T00:00:00Z</vt:filetime>
  </property>
  <property fmtid="{D5CDD505-2E9C-101B-9397-08002B2CF9AE}" pid="3" name="LastSaved">
    <vt:filetime>2014-02-03T00:00:00Z</vt:filetime>
  </property>
  <property fmtid="{D5CDD505-2E9C-101B-9397-08002B2CF9AE}" pid="4" name="_NewReviewCycle">
    <vt:lpwstr/>
  </property>
  <property fmtid="{D5CDD505-2E9C-101B-9397-08002B2CF9AE}" pid="5" name="ContentTypeId">
    <vt:lpwstr>0x0101006A97507F5FD50A41A4CFE54E946877A8</vt:lpwstr>
  </property>
  <property fmtid="{D5CDD505-2E9C-101B-9397-08002B2CF9AE}" pid="6" name="_AdHocReviewCycleID">
    <vt:i4>2029081668</vt:i4>
  </property>
  <property fmtid="{D5CDD505-2E9C-101B-9397-08002B2CF9AE}" pid="7" name="_EmailSubject">
    <vt:lpwstr>New documents for the FOIA Public Library</vt:lpwstr>
  </property>
  <property fmtid="{D5CDD505-2E9C-101B-9397-08002B2CF9AE}" pid="8" name="_AuthorEmail">
    <vt:lpwstr>Linda.Frye@ssa.gov</vt:lpwstr>
  </property>
  <property fmtid="{D5CDD505-2E9C-101B-9397-08002B2CF9AE}" pid="9" name="_AuthorEmailDisplayName">
    <vt:lpwstr>Frye, Linda</vt:lpwstr>
  </property>
  <property fmtid="{D5CDD505-2E9C-101B-9397-08002B2CF9AE}" pid="10" name="_PreviousAdHocReviewCycleID">
    <vt:i4>2049392813</vt:i4>
  </property>
</Properties>
</file>